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570878412"/>
        <w:docPartObj>
          <w:docPartGallery w:val="Cover Pages"/>
          <w:docPartUnique/>
        </w:docPartObj>
      </w:sdtPr>
      <w:sdtEndPr>
        <w:rPr>
          <w:rFonts w:ascii="Garamond" w:hAnsi="Garamond" w:cs="Leelawadee"/>
          <w:sz w:val="26"/>
          <w:szCs w:val="26"/>
          <w:lang w:val="en-US"/>
        </w:rPr>
      </w:sdtEndPr>
      <w:sdtContent>
        <w:p w:rsidR="004C2568" w:rsidRDefault="004C2568">
          <w:r>
            <w:rPr>
              <w:noProof/>
              <w:lang w:val="en-US"/>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5="http://schemas.microsoft.com/office/word/2012/wordml">
                <w:pict>
                  <v:group w14:anchorId="6857B963"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149346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1" o:title="" recolor="t" rotate="t" type="frame"/>
                    </v:rect>
                    <w10:wrap anchorx="page" anchory="page"/>
                  </v:group>
                </w:pict>
              </mc:Fallback>
            </mc:AlternateContent>
          </w:r>
          <w:r>
            <w:rPr>
              <w:noProof/>
              <w:lang w:val="en-US"/>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F60" w:rsidRDefault="00702F60">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rsidR="00702F60" w:rsidRDefault="00702F60">
                          <w:pPr>
                            <w:pStyle w:val="NoSpacing"/>
                            <w:jc w:val="right"/>
                            <w:rPr>
                              <w:color w:val="595959" w:themeColor="text1" w:themeTint="A6"/>
                              <w:sz w:val="18"/>
                              <w:szCs w:val="18"/>
                            </w:rPr>
                          </w:pPr>
                        </w:p>
                      </w:txbxContent>
                    </v:textbox>
                    <w10:wrap type="square" anchorx="page" anchory="page"/>
                  </v:shape>
                </w:pict>
              </mc:Fallback>
            </mc:AlternateContent>
          </w:r>
          <w:r>
            <w:rPr>
              <w:noProof/>
              <w:lang w:val="en-US"/>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Garamond" w:hAnsi="Garamond" w:cs="Times New Roman"/>
                                    <w:color w:val="000000" w:themeColor="text1"/>
                                    <w:kern w:val="24"/>
                                    <w:sz w:val="28"/>
                                    <w:szCs w:val="28"/>
                                  </w:rPr>
                                  <w:alias w:val="Abstract"/>
                                  <w:tag w:val=""/>
                                  <w:id w:val="1375273687"/>
                                  <w:dataBinding w:prefixMappings="xmlns:ns0='http://schemas.microsoft.com/office/2006/coverPageProps' " w:xpath="/ns0:CoverPageProperties[1]/ns0:Abstract[1]" w:storeItemID="{55AF091B-3C7A-41E3-B477-F2FDAA23CFDA}"/>
                                  <w:text w:multiLine="1"/>
                                </w:sdtPr>
                                <w:sdtEndPr/>
                                <w:sdtContent>
                                  <w:p w:rsidR="00702F60" w:rsidRDefault="00702F60" w:rsidP="003D6357">
                                    <w:pPr>
                                      <w:pStyle w:val="NoSpacing"/>
                                      <w:ind w:left="-1530"/>
                                      <w:jc w:val="both"/>
                                      <w:rPr>
                                        <w:color w:val="595959" w:themeColor="text1" w:themeTint="A6"/>
                                        <w:sz w:val="20"/>
                                        <w:szCs w:val="20"/>
                                      </w:rPr>
                                    </w:pPr>
                                    <w:r w:rsidRPr="003D6357">
                                      <w:rPr>
                                        <w:rFonts w:ascii="Garamond" w:hAnsi="Garamond" w:cs="Times New Roman"/>
                                        <w:color w:val="000000" w:themeColor="text1"/>
                                        <w:kern w:val="24"/>
                                        <w:sz w:val="28"/>
                                        <w:szCs w:val="28"/>
                                      </w:rPr>
                                      <w:t xml:space="preserve">PIARCS offers revolutionary solutions to peak oil, peak phosphorus and water pollution.  In the near term, PIARCS’ novel bioreactor designs will enable algae-based biodiesel </w:t>
                                    </w:r>
                                    <w:r>
                                      <w:rPr>
                                        <w:rFonts w:ascii="Garamond" w:hAnsi="Garamond" w:cs="Times New Roman"/>
                                        <w:color w:val="000000" w:themeColor="text1"/>
                                        <w:kern w:val="24"/>
                                        <w:sz w:val="28"/>
                                        <w:szCs w:val="28"/>
                                      </w:rPr>
                                      <w:t xml:space="preserve">production </w:t>
                                    </w:r>
                                    <w:r w:rsidRPr="003D6357">
                                      <w:rPr>
                                        <w:rFonts w:ascii="Garamond" w:hAnsi="Garamond" w:cs="Times New Roman"/>
                                        <w:color w:val="000000" w:themeColor="text1"/>
                                        <w:kern w:val="24"/>
                                        <w:sz w:val="28"/>
                                        <w:szCs w:val="28"/>
                                      </w:rPr>
                                      <w:t xml:space="preserve">prices under $ </w:t>
                                    </w:r>
                                    <w:r>
                                      <w:rPr>
                                        <w:rFonts w:ascii="Garamond" w:hAnsi="Garamond" w:cs="Times New Roman"/>
                                        <w:color w:val="000000" w:themeColor="text1"/>
                                        <w:kern w:val="24"/>
                                        <w:sz w:val="28"/>
                                        <w:szCs w:val="28"/>
                                      </w:rPr>
                                      <w:t>92/barrel</w:t>
                                    </w:r>
                                    <w:r w:rsidRPr="003D6357">
                                      <w:rPr>
                                        <w:rFonts w:ascii="Garamond" w:hAnsi="Garamond" w:cs="Times New Roman"/>
                                        <w:color w:val="000000" w:themeColor="text1"/>
                                        <w:kern w:val="24"/>
                                        <w:sz w:val="28"/>
                                        <w:szCs w:val="28"/>
                                      </w:rPr>
                                      <w:t>. Leveraging the founder’s interdisciplinary IP, PIARCS primarily conducts R&amp;D and generates revenue through licensing.  PIARCS was formed as a Delaware Public Benefit Corporation to promote environmental sustainability and is now seeking investment partners aligned with this public purpose.</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w15="http://schemas.microsoft.com/office/word/2012/wordml">
                <w:pict>
                  <v:shape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sdt>
                          <w:sdtPr>
                            <w:rPr>
                              <w:rFonts w:ascii="Garamond" w:hAnsi="Garamond" w:cs="Times New Roman"/>
                              <w:color w:val="000000" w:themeColor="text1"/>
                              <w:kern w:val="24"/>
                              <w:sz w:val="28"/>
                              <w:szCs w:val="28"/>
                            </w:rPr>
                            <w:alias w:val="Abstract"/>
                            <w:tag w:val=""/>
                            <w:id w:val="1375273687"/>
                            <w:dataBinding w:prefixMappings="xmlns:ns0='http://schemas.microsoft.com/office/2006/coverPageProps' " w:xpath="/ns0:CoverPageProperties[1]/ns0:Abstract[1]" w:storeItemID="{55AF091B-3C7A-41E3-B477-F2FDAA23CFDA}"/>
                            <w:text w:multiLine="1"/>
                          </w:sdtPr>
                          <w:sdtContent>
                            <w:p w:rsidR="00702F60" w:rsidRDefault="00702F60" w:rsidP="003D6357">
                              <w:pPr>
                                <w:pStyle w:val="NoSpacing"/>
                                <w:ind w:left="-1530"/>
                                <w:jc w:val="both"/>
                                <w:rPr>
                                  <w:color w:val="595959" w:themeColor="text1" w:themeTint="A6"/>
                                  <w:sz w:val="20"/>
                                  <w:szCs w:val="20"/>
                                </w:rPr>
                              </w:pPr>
                              <w:r w:rsidRPr="003D6357">
                                <w:rPr>
                                  <w:rFonts w:ascii="Garamond" w:hAnsi="Garamond" w:cs="Times New Roman"/>
                                  <w:color w:val="000000" w:themeColor="text1"/>
                                  <w:kern w:val="24"/>
                                  <w:sz w:val="28"/>
                                  <w:szCs w:val="28"/>
                                </w:rPr>
                                <w:t xml:space="preserve">PIARCS offers revolutionary solutions to peak oil, peak phosphorus and water pollution.  In the near term, PIARCS’ novel bioreactor designs will enable algae-based biodiesel </w:t>
                              </w:r>
                              <w:r>
                                <w:rPr>
                                  <w:rFonts w:ascii="Garamond" w:hAnsi="Garamond" w:cs="Times New Roman"/>
                                  <w:color w:val="000000" w:themeColor="text1"/>
                                  <w:kern w:val="24"/>
                                  <w:sz w:val="28"/>
                                  <w:szCs w:val="28"/>
                                </w:rPr>
                                <w:t xml:space="preserve">production </w:t>
                              </w:r>
                              <w:r w:rsidRPr="003D6357">
                                <w:rPr>
                                  <w:rFonts w:ascii="Garamond" w:hAnsi="Garamond" w:cs="Times New Roman"/>
                                  <w:color w:val="000000" w:themeColor="text1"/>
                                  <w:kern w:val="24"/>
                                  <w:sz w:val="28"/>
                                  <w:szCs w:val="28"/>
                                </w:rPr>
                                <w:t xml:space="preserve">prices under $ </w:t>
                              </w:r>
                              <w:r>
                                <w:rPr>
                                  <w:rFonts w:ascii="Garamond" w:hAnsi="Garamond" w:cs="Times New Roman"/>
                                  <w:color w:val="000000" w:themeColor="text1"/>
                                  <w:kern w:val="24"/>
                                  <w:sz w:val="28"/>
                                  <w:szCs w:val="28"/>
                                </w:rPr>
                                <w:t>92/barrel</w:t>
                              </w:r>
                              <w:r w:rsidRPr="003D6357">
                                <w:rPr>
                                  <w:rFonts w:ascii="Garamond" w:hAnsi="Garamond" w:cs="Times New Roman"/>
                                  <w:color w:val="000000" w:themeColor="text1"/>
                                  <w:kern w:val="24"/>
                                  <w:sz w:val="28"/>
                                  <w:szCs w:val="28"/>
                                </w:rPr>
                                <w:t>. Leveraging the founder’s interdisciplinary IP, PIARCS primarily conducts R&amp;D and generates revenue through licensing.  PIARCS was formed as a Delaware Public Benefit Corporation to promote environmental sustainability and is now seeking investment partners aligned with this public purpose.</w:t>
                              </w:r>
                            </w:p>
                          </w:sdtContent>
                        </w:sdt>
                      </w:txbxContent>
                    </v:textbox>
                    <w10:wrap type="square" anchorx="page" anchory="page"/>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F60" w:rsidRDefault="00275EE0">
                                <w:pPr>
                                  <w:jc w:val="right"/>
                                  <w:rPr>
                                    <w:color w:val="149346" w:themeColor="accent1"/>
                                    <w:sz w:val="64"/>
                                    <w:szCs w:val="64"/>
                                  </w:rPr>
                                </w:pPr>
                                <w:sdt>
                                  <w:sdtPr>
                                    <w:rPr>
                                      <w:caps/>
                                      <w:color w:val="149346"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02F60">
                                      <w:rPr>
                                        <w:caps/>
                                        <w:color w:val="149346" w:themeColor="accent1"/>
                                        <w:sz w:val="64"/>
                                        <w:szCs w:val="64"/>
                                      </w:rPr>
                                      <w:t>Business PLan</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rsidR="00702F60" w:rsidRPr="004829CD" w:rsidRDefault="00702F60">
                                    <w:pPr>
                                      <w:jc w:val="right"/>
                                      <w:rPr>
                                        <w:smallCaps/>
                                        <w:color w:val="404040" w:themeColor="text1" w:themeTint="BF"/>
                                        <w:sz w:val="36"/>
                                        <w:szCs w:val="36"/>
                                        <w:lang w:val="en-US"/>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w15="http://schemas.microsoft.com/office/word/2012/wordml">
                <w:pict>
                  <v:shape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rsidR="00702F60" w:rsidRDefault="00702F60">
                          <w:pPr>
                            <w:jc w:val="right"/>
                            <w:rPr>
                              <w:color w:val="149346" w:themeColor="accent1"/>
                              <w:sz w:val="64"/>
                              <w:szCs w:val="64"/>
                            </w:rPr>
                          </w:pPr>
                          <w:sdt>
                            <w:sdtPr>
                              <w:rPr>
                                <w:caps/>
                                <w:color w:val="149346"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149346" w:themeColor="accent1"/>
                                  <w:sz w:val="64"/>
                                  <w:szCs w:val="64"/>
                                </w:rPr>
                                <w:t>Business PLan</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rsidR="00702F60" w:rsidRPr="004829CD" w:rsidRDefault="00702F60">
                              <w:pPr>
                                <w:jc w:val="right"/>
                                <w:rPr>
                                  <w:smallCaps/>
                                  <w:color w:val="404040" w:themeColor="text1" w:themeTint="BF"/>
                                  <w:sz w:val="36"/>
                                  <w:szCs w:val="36"/>
                                  <w:lang w:val="en-US"/>
                                </w:rPr>
                              </w:pPr>
                              <w:r>
                                <w:rPr>
                                  <w:color w:val="404040" w:themeColor="text1" w:themeTint="BF"/>
                                  <w:sz w:val="36"/>
                                  <w:szCs w:val="36"/>
                                </w:rPr>
                                <w:t xml:space="preserve">     </w:t>
                              </w:r>
                            </w:p>
                          </w:sdtContent>
                        </w:sdt>
                      </w:txbxContent>
                    </v:textbox>
                    <w10:wrap type="square" anchorx="page" anchory="page"/>
                  </v:shape>
                </w:pict>
              </mc:Fallback>
            </mc:AlternateContent>
          </w:r>
        </w:p>
        <w:p w:rsidR="004C2568" w:rsidRDefault="004829CD">
          <w:pPr>
            <w:rPr>
              <w:rFonts w:ascii="Garamond" w:hAnsi="Garamond" w:cs="Leelawadee"/>
              <w:sz w:val="26"/>
              <w:szCs w:val="26"/>
              <w:lang w:val="en-US"/>
            </w:rPr>
          </w:pPr>
          <w:r w:rsidRPr="00B1734F">
            <w:rPr>
              <w:rFonts w:ascii="Garamond" w:hAnsi="Garamond" w:cs="Leelawadee"/>
              <w:noProof/>
              <w:sz w:val="26"/>
              <w:szCs w:val="26"/>
              <w:lang w:val="en-US"/>
            </w:rPr>
            <w:drawing>
              <wp:anchor distT="0" distB="0" distL="114300" distR="114300" simplePos="0" relativeHeight="251665408" behindDoc="0" locked="0" layoutInCell="1" allowOverlap="1">
                <wp:simplePos x="0" y="0"/>
                <wp:positionH relativeFrom="margin">
                  <wp:posOffset>1970405</wp:posOffset>
                </wp:positionH>
                <wp:positionV relativeFrom="paragraph">
                  <wp:posOffset>1085215</wp:posOffset>
                </wp:positionV>
                <wp:extent cx="2040890" cy="2117090"/>
                <wp:effectExtent l="0" t="0" r="0" b="0"/>
                <wp:wrapNone/>
                <wp:docPr id="10" name="Picture 10" descr="C:\Users\alexandra\Desktop\ALGAE PIARCS PBC\AE - LOGO and business card, Chris website\140407 LogoColor_32x33mm vBer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Desktop\ALGAE PIARCS PBC\AE - LOGO and business card, Chris website\140407 LogoColor_32x33mm vBerli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0890" cy="2117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hAnsi="Garamond" w:cs="Leelawadee"/>
              <w:noProof/>
              <w:sz w:val="26"/>
              <w:szCs w:val="26"/>
              <w:lang w:val="en-US"/>
            </w:rPr>
            <w:drawing>
              <wp:anchor distT="0" distB="0" distL="114300" distR="114300" simplePos="0" relativeHeight="251668480" behindDoc="0" locked="0" layoutInCell="1" allowOverlap="1">
                <wp:simplePos x="0" y="0"/>
                <wp:positionH relativeFrom="margin">
                  <wp:align>center</wp:align>
                </wp:positionH>
                <wp:positionV relativeFrom="paragraph">
                  <wp:posOffset>3352800</wp:posOffset>
                </wp:positionV>
                <wp:extent cx="6696075" cy="581473"/>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6075" cy="581473"/>
                        </a:xfrm>
                        <a:prstGeom prst="rect">
                          <a:avLst/>
                        </a:prstGeom>
                        <a:noFill/>
                      </pic:spPr>
                    </pic:pic>
                  </a:graphicData>
                </a:graphic>
                <wp14:sizeRelH relativeFrom="margin">
                  <wp14:pctWidth>0</wp14:pctWidth>
                </wp14:sizeRelH>
                <wp14:sizeRelV relativeFrom="margin">
                  <wp14:pctHeight>0</wp14:pctHeight>
                </wp14:sizeRelV>
              </wp:anchor>
            </w:drawing>
          </w:r>
          <w:r w:rsidR="004C2568">
            <w:rPr>
              <w:rFonts w:ascii="Garamond" w:hAnsi="Garamond" w:cs="Leelawadee"/>
              <w:sz w:val="26"/>
              <w:szCs w:val="26"/>
              <w:lang w:val="en-US"/>
            </w:rPr>
            <w:br w:type="page"/>
          </w:r>
        </w:p>
      </w:sdtContent>
    </w:sdt>
    <w:p w:rsidR="004C2568" w:rsidRDefault="004C2568" w:rsidP="00520868">
      <w:pPr>
        <w:tabs>
          <w:tab w:val="left" w:pos="5940"/>
          <w:tab w:val="left" w:pos="6480"/>
          <w:tab w:val="right" w:pos="9180"/>
        </w:tabs>
        <w:spacing w:after="0"/>
        <w:rPr>
          <w:rFonts w:ascii="Garamond" w:hAnsi="Garamond" w:cs="Leelawadee"/>
          <w:sz w:val="26"/>
          <w:szCs w:val="26"/>
          <w:lang w:val="en-US"/>
        </w:rPr>
      </w:pPr>
    </w:p>
    <w:sdt>
      <w:sdtPr>
        <w:rPr>
          <w:rFonts w:asciiTheme="minorHAnsi" w:eastAsiaTheme="minorHAnsi" w:hAnsiTheme="minorHAnsi" w:cstheme="minorBidi"/>
          <w:color w:val="auto"/>
          <w:sz w:val="22"/>
          <w:szCs w:val="22"/>
          <w:lang w:val="fr-FR"/>
        </w:rPr>
        <w:id w:val="-1641883935"/>
        <w:docPartObj>
          <w:docPartGallery w:val="Table of Contents"/>
          <w:docPartUnique/>
        </w:docPartObj>
      </w:sdtPr>
      <w:sdtEndPr>
        <w:rPr>
          <w:b/>
          <w:bCs/>
          <w:noProof/>
        </w:rPr>
      </w:sdtEndPr>
      <w:sdtContent>
        <w:p w:rsidR="00F23DAC" w:rsidRDefault="00F23DAC">
          <w:pPr>
            <w:pStyle w:val="TOCHeading"/>
          </w:pPr>
          <w:r>
            <w:t>Table of Contents</w:t>
          </w:r>
        </w:p>
        <w:p w:rsidR="00F23DAC" w:rsidRDefault="00F23DAC" w:rsidP="00F23DAC">
          <w:pPr>
            <w:rPr>
              <w:lang w:val="en-US"/>
            </w:rPr>
          </w:pPr>
        </w:p>
        <w:p w:rsidR="00F23DAC" w:rsidRPr="00FE5480" w:rsidRDefault="00052ED3" w:rsidP="00F23DAC">
          <w:pPr>
            <w:rPr>
              <w:rFonts w:asciiTheme="majorHAnsi" w:hAnsiTheme="majorHAnsi"/>
              <w:b/>
              <w:lang w:val="en-US"/>
            </w:rPr>
          </w:pPr>
          <w:r w:rsidRPr="00FE5480">
            <w:rPr>
              <w:rFonts w:asciiTheme="majorHAnsi" w:hAnsiTheme="majorHAnsi"/>
              <w:b/>
              <w:lang w:val="en-US"/>
            </w:rPr>
            <w:t>Executive Summary</w:t>
          </w:r>
        </w:p>
        <w:p w:rsidR="00BD6FC5" w:rsidRDefault="00F23DAC">
          <w:pPr>
            <w:pStyle w:val="TOC1"/>
            <w:tabs>
              <w:tab w:val="right" w:leader="dot" w:pos="9350"/>
            </w:tabs>
            <w:rPr>
              <w:rFonts w:eastAsiaTheme="minorEastAsia"/>
              <w:noProof/>
              <w:lang w:val="en-US"/>
            </w:rPr>
          </w:pPr>
          <w:r w:rsidRPr="00FE5480">
            <w:rPr>
              <w:rFonts w:asciiTheme="majorHAnsi" w:hAnsiTheme="majorHAnsi"/>
            </w:rPr>
            <w:fldChar w:fldCharType="begin"/>
          </w:r>
          <w:r w:rsidRPr="00FE5480">
            <w:rPr>
              <w:rFonts w:asciiTheme="majorHAnsi" w:hAnsiTheme="majorHAnsi"/>
            </w:rPr>
            <w:instrText xml:space="preserve"> TOC \o "1-3" \h \z \u </w:instrText>
          </w:r>
          <w:r w:rsidRPr="00FE5480">
            <w:rPr>
              <w:rFonts w:asciiTheme="majorHAnsi" w:hAnsiTheme="majorHAnsi"/>
            </w:rPr>
            <w:fldChar w:fldCharType="separate"/>
          </w:r>
          <w:hyperlink w:anchor="_Toc403474316" w:history="1">
            <w:r w:rsidR="00BD6FC5" w:rsidRPr="00862898">
              <w:rPr>
                <w:rStyle w:val="Hyperlink"/>
                <w:b/>
                <w:noProof/>
                <w:lang w:val="en-US"/>
              </w:rPr>
              <w:t>Section 1: PIARCS, PBC</w:t>
            </w:r>
            <w:r w:rsidR="00BD6FC5">
              <w:rPr>
                <w:noProof/>
                <w:webHidden/>
              </w:rPr>
              <w:tab/>
            </w:r>
            <w:r w:rsidR="00BD6FC5">
              <w:rPr>
                <w:noProof/>
                <w:webHidden/>
              </w:rPr>
              <w:fldChar w:fldCharType="begin"/>
            </w:r>
            <w:r w:rsidR="00BD6FC5">
              <w:rPr>
                <w:noProof/>
                <w:webHidden/>
              </w:rPr>
              <w:instrText xml:space="preserve"> PAGEREF _Toc403474316 \h </w:instrText>
            </w:r>
            <w:r w:rsidR="00BD6FC5">
              <w:rPr>
                <w:noProof/>
                <w:webHidden/>
              </w:rPr>
            </w:r>
            <w:r w:rsidR="00BD6FC5">
              <w:rPr>
                <w:noProof/>
                <w:webHidden/>
              </w:rPr>
              <w:fldChar w:fldCharType="separate"/>
            </w:r>
            <w:r w:rsidR="00BD6FC5">
              <w:rPr>
                <w:noProof/>
                <w:webHidden/>
              </w:rPr>
              <w:t>1</w:t>
            </w:r>
            <w:r w:rsidR="00BD6FC5">
              <w:rPr>
                <w:noProof/>
                <w:webHidden/>
              </w:rPr>
              <w:fldChar w:fldCharType="end"/>
            </w:r>
          </w:hyperlink>
        </w:p>
        <w:p w:rsidR="00BD6FC5" w:rsidRDefault="00275EE0">
          <w:pPr>
            <w:pStyle w:val="TOC2"/>
            <w:tabs>
              <w:tab w:val="right" w:leader="dot" w:pos="9350"/>
            </w:tabs>
            <w:rPr>
              <w:rFonts w:eastAsiaTheme="minorEastAsia"/>
              <w:noProof/>
              <w:lang w:val="en-US"/>
            </w:rPr>
          </w:pPr>
          <w:hyperlink w:anchor="_Toc403474317" w:history="1">
            <w:r w:rsidR="00BD6FC5" w:rsidRPr="00862898">
              <w:rPr>
                <w:rStyle w:val="Hyperlink"/>
                <w:b/>
                <w:noProof/>
                <w:lang w:val="en-US"/>
              </w:rPr>
              <w:t>A - Overview of PIARCS, PBC</w:t>
            </w:r>
            <w:r w:rsidR="00BD6FC5">
              <w:rPr>
                <w:noProof/>
                <w:webHidden/>
              </w:rPr>
              <w:tab/>
            </w:r>
            <w:r w:rsidR="00BD6FC5">
              <w:rPr>
                <w:noProof/>
                <w:webHidden/>
              </w:rPr>
              <w:fldChar w:fldCharType="begin"/>
            </w:r>
            <w:r w:rsidR="00BD6FC5">
              <w:rPr>
                <w:noProof/>
                <w:webHidden/>
              </w:rPr>
              <w:instrText xml:space="preserve"> PAGEREF _Toc403474317 \h </w:instrText>
            </w:r>
            <w:r w:rsidR="00BD6FC5">
              <w:rPr>
                <w:noProof/>
                <w:webHidden/>
              </w:rPr>
            </w:r>
            <w:r w:rsidR="00BD6FC5">
              <w:rPr>
                <w:noProof/>
                <w:webHidden/>
              </w:rPr>
              <w:fldChar w:fldCharType="separate"/>
            </w:r>
            <w:r w:rsidR="00BD6FC5">
              <w:rPr>
                <w:noProof/>
                <w:webHidden/>
              </w:rPr>
              <w:t>1</w:t>
            </w:r>
            <w:r w:rsidR="00BD6FC5">
              <w:rPr>
                <w:noProof/>
                <w:webHidden/>
              </w:rPr>
              <w:fldChar w:fldCharType="end"/>
            </w:r>
          </w:hyperlink>
        </w:p>
        <w:p w:rsidR="00BD6FC5" w:rsidRDefault="00275EE0">
          <w:pPr>
            <w:pStyle w:val="TOC2"/>
            <w:tabs>
              <w:tab w:val="right" w:leader="dot" w:pos="9350"/>
            </w:tabs>
            <w:rPr>
              <w:rFonts w:eastAsiaTheme="minorEastAsia"/>
              <w:noProof/>
              <w:lang w:val="en-US"/>
            </w:rPr>
          </w:pPr>
          <w:hyperlink w:anchor="_Toc403474318" w:history="1">
            <w:r w:rsidR="00BD6FC5" w:rsidRPr="00862898">
              <w:rPr>
                <w:rStyle w:val="Hyperlink"/>
                <w:b/>
                <w:noProof/>
                <w:lang w:val="en-US"/>
              </w:rPr>
              <w:t>B – Business strategy: Broad licensing of PIARCS’ enabling IP</w:t>
            </w:r>
            <w:r w:rsidR="00BD6FC5">
              <w:rPr>
                <w:noProof/>
                <w:webHidden/>
              </w:rPr>
              <w:tab/>
            </w:r>
            <w:r w:rsidR="00BD6FC5">
              <w:rPr>
                <w:noProof/>
                <w:webHidden/>
              </w:rPr>
              <w:fldChar w:fldCharType="begin"/>
            </w:r>
            <w:r w:rsidR="00BD6FC5">
              <w:rPr>
                <w:noProof/>
                <w:webHidden/>
              </w:rPr>
              <w:instrText xml:space="preserve"> PAGEREF _Toc403474318 \h </w:instrText>
            </w:r>
            <w:r w:rsidR="00BD6FC5">
              <w:rPr>
                <w:noProof/>
                <w:webHidden/>
              </w:rPr>
            </w:r>
            <w:r w:rsidR="00BD6FC5">
              <w:rPr>
                <w:noProof/>
                <w:webHidden/>
              </w:rPr>
              <w:fldChar w:fldCharType="separate"/>
            </w:r>
            <w:r w:rsidR="00BD6FC5">
              <w:rPr>
                <w:noProof/>
                <w:webHidden/>
              </w:rPr>
              <w:t>2</w:t>
            </w:r>
            <w:r w:rsidR="00BD6FC5">
              <w:rPr>
                <w:noProof/>
                <w:webHidden/>
              </w:rPr>
              <w:fldChar w:fldCharType="end"/>
            </w:r>
          </w:hyperlink>
        </w:p>
        <w:p w:rsidR="00BD6FC5" w:rsidRDefault="00275EE0">
          <w:pPr>
            <w:pStyle w:val="TOC2"/>
            <w:tabs>
              <w:tab w:val="right" w:leader="dot" w:pos="9350"/>
            </w:tabs>
            <w:rPr>
              <w:rFonts w:eastAsiaTheme="minorEastAsia"/>
              <w:noProof/>
              <w:lang w:val="en-US"/>
            </w:rPr>
          </w:pPr>
          <w:hyperlink w:anchor="_Toc403474319" w:history="1">
            <w:r w:rsidR="00BD6FC5" w:rsidRPr="00862898">
              <w:rPr>
                <w:rStyle w:val="Hyperlink"/>
                <w:b/>
                <w:noProof/>
                <w:lang w:val="en-US"/>
              </w:rPr>
              <w:t>C – Algal biomass and biofuel: Market analysis</w:t>
            </w:r>
            <w:r w:rsidR="00BD6FC5">
              <w:rPr>
                <w:noProof/>
                <w:webHidden/>
              </w:rPr>
              <w:tab/>
            </w:r>
            <w:r w:rsidR="00BD6FC5">
              <w:rPr>
                <w:noProof/>
                <w:webHidden/>
              </w:rPr>
              <w:fldChar w:fldCharType="begin"/>
            </w:r>
            <w:r w:rsidR="00BD6FC5">
              <w:rPr>
                <w:noProof/>
                <w:webHidden/>
              </w:rPr>
              <w:instrText xml:space="preserve"> PAGEREF _Toc403474319 \h </w:instrText>
            </w:r>
            <w:r w:rsidR="00BD6FC5">
              <w:rPr>
                <w:noProof/>
                <w:webHidden/>
              </w:rPr>
            </w:r>
            <w:r w:rsidR="00BD6FC5">
              <w:rPr>
                <w:noProof/>
                <w:webHidden/>
              </w:rPr>
              <w:fldChar w:fldCharType="separate"/>
            </w:r>
            <w:r w:rsidR="00BD6FC5">
              <w:rPr>
                <w:noProof/>
                <w:webHidden/>
              </w:rPr>
              <w:t>3</w:t>
            </w:r>
            <w:r w:rsidR="00BD6FC5">
              <w:rPr>
                <w:noProof/>
                <w:webHidden/>
              </w:rPr>
              <w:fldChar w:fldCharType="end"/>
            </w:r>
          </w:hyperlink>
        </w:p>
        <w:p w:rsidR="00BD6FC5" w:rsidRDefault="00275EE0">
          <w:pPr>
            <w:pStyle w:val="TOC3"/>
            <w:tabs>
              <w:tab w:val="left" w:pos="880"/>
              <w:tab w:val="right" w:leader="dot" w:pos="9350"/>
            </w:tabs>
            <w:rPr>
              <w:rFonts w:eastAsiaTheme="minorEastAsia"/>
              <w:noProof/>
              <w:lang w:val="en-US"/>
            </w:rPr>
          </w:pPr>
          <w:hyperlink w:anchor="_Toc403474320" w:history="1">
            <w:r w:rsidR="00BD6FC5" w:rsidRPr="00862898">
              <w:rPr>
                <w:rStyle w:val="Hyperlink"/>
                <w:noProof/>
                <w:lang w:val="en-US"/>
              </w:rPr>
              <w:t>a)</w:t>
            </w:r>
            <w:r w:rsidR="00BD6FC5">
              <w:rPr>
                <w:rFonts w:eastAsiaTheme="minorEastAsia"/>
                <w:noProof/>
                <w:lang w:val="en-US"/>
              </w:rPr>
              <w:tab/>
            </w:r>
            <w:r w:rsidR="00BD6FC5" w:rsidRPr="00862898">
              <w:rPr>
                <w:rStyle w:val="Hyperlink"/>
                <w:noProof/>
                <w:lang w:val="en-US"/>
              </w:rPr>
              <w:t>State of the art and current limitations</w:t>
            </w:r>
            <w:r w:rsidR="00BD6FC5">
              <w:rPr>
                <w:noProof/>
                <w:webHidden/>
              </w:rPr>
              <w:tab/>
            </w:r>
            <w:r w:rsidR="00BD6FC5">
              <w:rPr>
                <w:noProof/>
                <w:webHidden/>
              </w:rPr>
              <w:fldChar w:fldCharType="begin"/>
            </w:r>
            <w:r w:rsidR="00BD6FC5">
              <w:rPr>
                <w:noProof/>
                <w:webHidden/>
              </w:rPr>
              <w:instrText xml:space="preserve"> PAGEREF _Toc403474320 \h </w:instrText>
            </w:r>
            <w:r w:rsidR="00BD6FC5">
              <w:rPr>
                <w:noProof/>
                <w:webHidden/>
              </w:rPr>
            </w:r>
            <w:r w:rsidR="00BD6FC5">
              <w:rPr>
                <w:noProof/>
                <w:webHidden/>
              </w:rPr>
              <w:fldChar w:fldCharType="separate"/>
            </w:r>
            <w:r w:rsidR="00BD6FC5">
              <w:rPr>
                <w:noProof/>
                <w:webHidden/>
              </w:rPr>
              <w:t>3</w:t>
            </w:r>
            <w:r w:rsidR="00BD6FC5">
              <w:rPr>
                <w:noProof/>
                <w:webHidden/>
              </w:rPr>
              <w:fldChar w:fldCharType="end"/>
            </w:r>
          </w:hyperlink>
        </w:p>
        <w:p w:rsidR="00BD6FC5" w:rsidRDefault="00275EE0">
          <w:pPr>
            <w:pStyle w:val="TOC3"/>
            <w:tabs>
              <w:tab w:val="left" w:pos="880"/>
              <w:tab w:val="right" w:leader="dot" w:pos="9350"/>
            </w:tabs>
            <w:rPr>
              <w:rFonts w:eastAsiaTheme="minorEastAsia"/>
              <w:noProof/>
              <w:lang w:val="en-US"/>
            </w:rPr>
          </w:pPr>
          <w:hyperlink w:anchor="_Toc403474321" w:history="1">
            <w:r w:rsidR="00BD6FC5" w:rsidRPr="00862898">
              <w:rPr>
                <w:rStyle w:val="Hyperlink"/>
                <w:noProof/>
                <w:lang w:val="en-US"/>
              </w:rPr>
              <w:t>b)</w:t>
            </w:r>
            <w:r w:rsidR="00BD6FC5">
              <w:rPr>
                <w:rFonts w:eastAsiaTheme="minorEastAsia"/>
                <w:noProof/>
                <w:lang w:val="en-US"/>
              </w:rPr>
              <w:tab/>
            </w:r>
            <w:r w:rsidR="00BD6FC5" w:rsidRPr="00862898">
              <w:rPr>
                <w:rStyle w:val="Hyperlink"/>
                <w:noProof/>
                <w:lang w:val="en-US"/>
              </w:rPr>
              <w:t>PIARCS’ solutions</w:t>
            </w:r>
            <w:r w:rsidR="00BD6FC5">
              <w:rPr>
                <w:noProof/>
                <w:webHidden/>
              </w:rPr>
              <w:tab/>
            </w:r>
            <w:r w:rsidR="00BD6FC5">
              <w:rPr>
                <w:noProof/>
                <w:webHidden/>
              </w:rPr>
              <w:fldChar w:fldCharType="begin"/>
            </w:r>
            <w:r w:rsidR="00BD6FC5">
              <w:rPr>
                <w:noProof/>
                <w:webHidden/>
              </w:rPr>
              <w:instrText xml:space="preserve"> PAGEREF _Toc403474321 \h </w:instrText>
            </w:r>
            <w:r w:rsidR="00BD6FC5">
              <w:rPr>
                <w:noProof/>
                <w:webHidden/>
              </w:rPr>
            </w:r>
            <w:r w:rsidR="00BD6FC5">
              <w:rPr>
                <w:noProof/>
                <w:webHidden/>
              </w:rPr>
              <w:fldChar w:fldCharType="separate"/>
            </w:r>
            <w:r w:rsidR="00BD6FC5">
              <w:rPr>
                <w:noProof/>
                <w:webHidden/>
              </w:rPr>
              <w:t>4</w:t>
            </w:r>
            <w:r w:rsidR="00BD6FC5">
              <w:rPr>
                <w:noProof/>
                <w:webHidden/>
              </w:rPr>
              <w:fldChar w:fldCharType="end"/>
            </w:r>
          </w:hyperlink>
        </w:p>
        <w:p w:rsidR="00BD6FC5" w:rsidRDefault="00275EE0">
          <w:pPr>
            <w:pStyle w:val="TOC3"/>
            <w:tabs>
              <w:tab w:val="left" w:pos="880"/>
              <w:tab w:val="right" w:leader="dot" w:pos="9350"/>
            </w:tabs>
            <w:rPr>
              <w:rFonts w:eastAsiaTheme="minorEastAsia"/>
              <w:noProof/>
              <w:lang w:val="en-US"/>
            </w:rPr>
          </w:pPr>
          <w:hyperlink w:anchor="_Toc403474322" w:history="1">
            <w:r w:rsidR="00BD6FC5" w:rsidRPr="00862898">
              <w:rPr>
                <w:rStyle w:val="Hyperlink"/>
                <w:noProof/>
                <w:lang w:val="en-US"/>
              </w:rPr>
              <w:t>c)</w:t>
            </w:r>
            <w:r w:rsidR="00BD6FC5">
              <w:rPr>
                <w:rFonts w:eastAsiaTheme="minorEastAsia"/>
                <w:noProof/>
                <w:lang w:val="en-US"/>
              </w:rPr>
              <w:tab/>
            </w:r>
            <w:r w:rsidR="00BD6FC5" w:rsidRPr="00862898">
              <w:rPr>
                <w:rStyle w:val="Hyperlink"/>
                <w:noProof/>
                <w:lang w:val="en-US"/>
              </w:rPr>
              <w:t>PIARCS’s already mature IP</w:t>
            </w:r>
            <w:r w:rsidR="00BD6FC5">
              <w:rPr>
                <w:noProof/>
                <w:webHidden/>
              </w:rPr>
              <w:tab/>
            </w:r>
            <w:r w:rsidR="00BD6FC5">
              <w:rPr>
                <w:noProof/>
                <w:webHidden/>
              </w:rPr>
              <w:fldChar w:fldCharType="begin"/>
            </w:r>
            <w:r w:rsidR="00BD6FC5">
              <w:rPr>
                <w:noProof/>
                <w:webHidden/>
              </w:rPr>
              <w:instrText xml:space="preserve"> PAGEREF _Toc403474322 \h </w:instrText>
            </w:r>
            <w:r w:rsidR="00BD6FC5">
              <w:rPr>
                <w:noProof/>
                <w:webHidden/>
              </w:rPr>
            </w:r>
            <w:r w:rsidR="00BD6FC5">
              <w:rPr>
                <w:noProof/>
                <w:webHidden/>
              </w:rPr>
              <w:fldChar w:fldCharType="separate"/>
            </w:r>
            <w:r w:rsidR="00BD6FC5">
              <w:rPr>
                <w:noProof/>
                <w:webHidden/>
              </w:rPr>
              <w:t>5</w:t>
            </w:r>
            <w:r w:rsidR="00BD6FC5">
              <w:rPr>
                <w:noProof/>
                <w:webHidden/>
              </w:rPr>
              <w:fldChar w:fldCharType="end"/>
            </w:r>
          </w:hyperlink>
        </w:p>
        <w:p w:rsidR="00BD6FC5" w:rsidRDefault="00275EE0">
          <w:pPr>
            <w:pStyle w:val="TOC2"/>
            <w:tabs>
              <w:tab w:val="right" w:leader="dot" w:pos="9350"/>
            </w:tabs>
            <w:rPr>
              <w:rFonts w:eastAsiaTheme="minorEastAsia"/>
              <w:noProof/>
              <w:lang w:val="en-US"/>
            </w:rPr>
          </w:pPr>
          <w:hyperlink w:anchor="_Toc403474323" w:history="1">
            <w:r w:rsidR="00BD6FC5" w:rsidRPr="00862898">
              <w:rPr>
                <w:rStyle w:val="Hyperlink"/>
                <w:b/>
                <w:noProof/>
                <w:lang w:val="en-US"/>
              </w:rPr>
              <w:t>D – High loading phosphorus recovery &amp; complete phosphorus removal: Market analysis</w:t>
            </w:r>
            <w:r w:rsidR="00BD6FC5">
              <w:rPr>
                <w:noProof/>
                <w:webHidden/>
              </w:rPr>
              <w:tab/>
            </w:r>
            <w:r w:rsidR="00BD6FC5">
              <w:rPr>
                <w:noProof/>
                <w:webHidden/>
              </w:rPr>
              <w:fldChar w:fldCharType="begin"/>
            </w:r>
            <w:r w:rsidR="00BD6FC5">
              <w:rPr>
                <w:noProof/>
                <w:webHidden/>
              </w:rPr>
              <w:instrText xml:space="preserve"> PAGEREF _Toc403474323 \h </w:instrText>
            </w:r>
            <w:r w:rsidR="00BD6FC5">
              <w:rPr>
                <w:noProof/>
                <w:webHidden/>
              </w:rPr>
            </w:r>
            <w:r w:rsidR="00BD6FC5">
              <w:rPr>
                <w:noProof/>
                <w:webHidden/>
              </w:rPr>
              <w:fldChar w:fldCharType="separate"/>
            </w:r>
            <w:r w:rsidR="00BD6FC5">
              <w:rPr>
                <w:noProof/>
                <w:webHidden/>
              </w:rPr>
              <w:t>6</w:t>
            </w:r>
            <w:r w:rsidR="00BD6FC5">
              <w:rPr>
                <w:noProof/>
                <w:webHidden/>
              </w:rPr>
              <w:fldChar w:fldCharType="end"/>
            </w:r>
          </w:hyperlink>
        </w:p>
        <w:p w:rsidR="00BD6FC5" w:rsidRDefault="00275EE0">
          <w:pPr>
            <w:pStyle w:val="TOC3"/>
            <w:tabs>
              <w:tab w:val="left" w:pos="880"/>
              <w:tab w:val="right" w:leader="dot" w:pos="9350"/>
            </w:tabs>
            <w:rPr>
              <w:rFonts w:eastAsiaTheme="minorEastAsia"/>
              <w:noProof/>
              <w:lang w:val="en-US"/>
            </w:rPr>
          </w:pPr>
          <w:hyperlink w:anchor="_Toc403474324" w:history="1">
            <w:r w:rsidR="00BD6FC5" w:rsidRPr="00862898">
              <w:rPr>
                <w:rStyle w:val="Hyperlink"/>
                <w:noProof/>
                <w:lang w:val="en-US"/>
              </w:rPr>
              <w:t>a)</w:t>
            </w:r>
            <w:r w:rsidR="00BD6FC5">
              <w:rPr>
                <w:rFonts w:eastAsiaTheme="minorEastAsia"/>
                <w:noProof/>
                <w:lang w:val="en-US"/>
              </w:rPr>
              <w:tab/>
            </w:r>
            <w:r w:rsidR="00BD6FC5" w:rsidRPr="00862898">
              <w:rPr>
                <w:rStyle w:val="Hyperlink"/>
                <w:noProof/>
                <w:lang w:val="en-US"/>
              </w:rPr>
              <w:t>State of the art and competition</w:t>
            </w:r>
            <w:r w:rsidR="00BD6FC5">
              <w:rPr>
                <w:noProof/>
                <w:webHidden/>
              </w:rPr>
              <w:tab/>
            </w:r>
            <w:r w:rsidR="00BD6FC5">
              <w:rPr>
                <w:noProof/>
                <w:webHidden/>
              </w:rPr>
              <w:fldChar w:fldCharType="begin"/>
            </w:r>
            <w:r w:rsidR="00BD6FC5">
              <w:rPr>
                <w:noProof/>
                <w:webHidden/>
              </w:rPr>
              <w:instrText xml:space="preserve"> PAGEREF _Toc403474324 \h </w:instrText>
            </w:r>
            <w:r w:rsidR="00BD6FC5">
              <w:rPr>
                <w:noProof/>
                <w:webHidden/>
              </w:rPr>
            </w:r>
            <w:r w:rsidR="00BD6FC5">
              <w:rPr>
                <w:noProof/>
                <w:webHidden/>
              </w:rPr>
              <w:fldChar w:fldCharType="separate"/>
            </w:r>
            <w:r w:rsidR="00BD6FC5">
              <w:rPr>
                <w:noProof/>
                <w:webHidden/>
              </w:rPr>
              <w:t>6</w:t>
            </w:r>
            <w:r w:rsidR="00BD6FC5">
              <w:rPr>
                <w:noProof/>
                <w:webHidden/>
              </w:rPr>
              <w:fldChar w:fldCharType="end"/>
            </w:r>
          </w:hyperlink>
        </w:p>
        <w:p w:rsidR="00BD6FC5" w:rsidRDefault="00275EE0">
          <w:pPr>
            <w:pStyle w:val="TOC3"/>
            <w:tabs>
              <w:tab w:val="left" w:pos="880"/>
              <w:tab w:val="right" w:leader="dot" w:pos="9350"/>
            </w:tabs>
            <w:rPr>
              <w:rFonts w:eastAsiaTheme="minorEastAsia"/>
              <w:noProof/>
              <w:lang w:val="en-US"/>
            </w:rPr>
          </w:pPr>
          <w:hyperlink w:anchor="_Toc403474325" w:history="1">
            <w:r w:rsidR="00BD6FC5" w:rsidRPr="00862898">
              <w:rPr>
                <w:rStyle w:val="Hyperlink"/>
                <w:noProof/>
                <w:lang w:val="en-US"/>
              </w:rPr>
              <w:t>b)</w:t>
            </w:r>
            <w:r w:rsidR="00BD6FC5">
              <w:rPr>
                <w:rFonts w:eastAsiaTheme="minorEastAsia"/>
                <w:noProof/>
                <w:lang w:val="en-US"/>
              </w:rPr>
              <w:tab/>
            </w:r>
            <w:r w:rsidR="00BD6FC5" w:rsidRPr="00862898">
              <w:rPr>
                <w:rStyle w:val="Hyperlink"/>
                <w:noProof/>
                <w:lang w:val="en-US"/>
              </w:rPr>
              <w:t>PIARCS’ solutions</w:t>
            </w:r>
            <w:r w:rsidR="00BD6FC5">
              <w:rPr>
                <w:noProof/>
                <w:webHidden/>
              </w:rPr>
              <w:tab/>
            </w:r>
            <w:r w:rsidR="00BD6FC5">
              <w:rPr>
                <w:noProof/>
                <w:webHidden/>
              </w:rPr>
              <w:fldChar w:fldCharType="begin"/>
            </w:r>
            <w:r w:rsidR="00BD6FC5">
              <w:rPr>
                <w:noProof/>
                <w:webHidden/>
              </w:rPr>
              <w:instrText xml:space="preserve"> PAGEREF _Toc403474325 \h </w:instrText>
            </w:r>
            <w:r w:rsidR="00BD6FC5">
              <w:rPr>
                <w:noProof/>
                <w:webHidden/>
              </w:rPr>
            </w:r>
            <w:r w:rsidR="00BD6FC5">
              <w:rPr>
                <w:noProof/>
                <w:webHidden/>
              </w:rPr>
              <w:fldChar w:fldCharType="separate"/>
            </w:r>
            <w:r w:rsidR="00BD6FC5">
              <w:rPr>
                <w:noProof/>
                <w:webHidden/>
              </w:rPr>
              <w:t>7</w:t>
            </w:r>
            <w:r w:rsidR="00BD6FC5">
              <w:rPr>
                <w:noProof/>
                <w:webHidden/>
              </w:rPr>
              <w:fldChar w:fldCharType="end"/>
            </w:r>
          </w:hyperlink>
        </w:p>
        <w:p w:rsidR="00BD6FC5" w:rsidRDefault="00275EE0">
          <w:pPr>
            <w:pStyle w:val="TOC3"/>
            <w:tabs>
              <w:tab w:val="left" w:pos="880"/>
              <w:tab w:val="right" w:leader="dot" w:pos="9350"/>
            </w:tabs>
            <w:rPr>
              <w:rFonts w:eastAsiaTheme="minorEastAsia"/>
              <w:noProof/>
              <w:lang w:val="en-US"/>
            </w:rPr>
          </w:pPr>
          <w:hyperlink w:anchor="_Toc403474326" w:history="1">
            <w:r w:rsidR="00BD6FC5" w:rsidRPr="00862898">
              <w:rPr>
                <w:rStyle w:val="Hyperlink"/>
                <w:noProof/>
                <w:lang w:val="en-US"/>
              </w:rPr>
              <w:t>c)</w:t>
            </w:r>
            <w:r w:rsidR="00BD6FC5">
              <w:rPr>
                <w:rFonts w:eastAsiaTheme="minorEastAsia"/>
                <w:noProof/>
                <w:lang w:val="en-US"/>
              </w:rPr>
              <w:tab/>
            </w:r>
            <w:r w:rsidR="00BD6FC5" w:rsidRPr="00862898">
              <w:rPr>
                <w:rStyle w:val="Hyperlink"/>
                <w:noProof/>
                <w:lang w:val="en-US"/>
              </w:rPr>
              <w:t>PIARCS’s already mature IP</w:t>
            </w:r>
            <w:r w:rsidR="00BD6FC5">
              <w:rPr>
                <w:noProof/>
                <w:webHidden/>
              </w:rPr>
              <w:tab/>
            </w:r>
            <w:r w:rsidR="00BD6FC5">
              <w:rPr>
                <w:noProof/>
                <w:webHidden/>
              </w:rPr>
              <w:fldChar w:fldCharType="begin"/>
            </w:r>
            <w:r w:rsidR="00BD6FC5">
              <w:rPr>
                <w:noProof/>
                <w:webHidden/>
              </w:rPr>
              <w:instrText xml:space="preserve"> PAGEREF _Toc403474326 \h </w:instrText>
            </w:r>
            <w:r w:rsidR="00BD6FC5">
              <w:rPr>
                <w:noProof/>
                <w:webHidden/>
              </w:rPr>
            </w:r>
            <w:r w:rsidR="00BD6FC5">
              <w:rPr>
                <w:noProof/>
                <w:webHidden/>
              </w:rPr>
              <w:fldChar w:fldCharType="separate"/>
            </w:r>
            <w:r w:rsidR="00BD6FC5">
              <w:rPr>
                <w:noProof/>
                <w:webHidden/>
              </w:rPr>
              <w:t>9</w:t>
            </w:r>
            <w:r w:rsidR="00BD6FC5">
              <w:rPr>
                <w:noProof/>
                <w:webHidden/>
              </w:rPr>
              <w:fldChar w:fldCharType="end"/>
            </w:r>
          </w:hyperlink>
        </w:p>
        <w:p w:rsidR="00BD6FC5" w:rsidRDefault="00275EE0">
          <w:pPr>
            <w:pStyle w:val="TOC2"/>
            <w:tabs>
              <w:tab w:val="right" w:leader="dot" w:pos="9350"/>
            </w:tabs>
            <w:rPr>
              <w:rFonts w:eastAsiaTheme="minorEastAsia"/>
              <w:noProof/>
              <w:lang w:val="en-US"/>
            </w:rPr>
          </w:pPr>
          <w:hyperlink w:anchor="_Toc403474327" w:history="1">
            <w:r w:rsidR="00BD6FC5" w:rsidRPr="00862898">
              <w:rPr>
                <w:rStyle w:val="Hyperlink"/>
                <w:b/>
                <w:noProof/>
                <w:lang w:val="en-US"/>
              </w:rPr>
              <w:t>E – Market potential and expansion strategy</w:t>
            </w:r>
            <w:r w:rsidR="00BD6FC5">
              <w:rPr>
                <w:noProof/>
                <w:webHidden/>
              </w:rPr>
              <w:tab/>
            </w:r>
            <w:r w:rsidR="00BD6FC5">
              <w:rPr>
                <w:noProof/>
                <w:webHidden/>
              </w:rPr>
              <w:fldChar w:fldCharType="begin"/>
            </w:r>
            <w:r w:rsidR="00BD6FC5">
              <w:rPr>
                <w:noProof/>
                <w:webHidden/>
              </w:rPr>
              <w:instrText xml:space="preserve"> PAGEREF _Toc403474327 \h </w:instrText>
            </w:r>
            <w:r w:rsidR="00BD6FC5">
              <w:rPr>
                <w:noProof/>
                <w:webHidden/>
              </w:rPr>
            </w:r>
            <w:r w:rsidR="00BD6FC5">
              <w:rPr>
                <w:noProof/>
                <w:webHidden/>
              </w:rPr>
              <w:fldChar w:fldCharType="separate"/>
            </w:r>
            <w:r w:rsidR="00BD6FC5">
              <w:rPr>
                <w:noProof/>
                <w:webHidden/>
              </w:rPr>
              <w:t>10</w:t>
            </w:r>
            <w:r w:rsidR="00BD6FC5">
              <w:rPr>
                <w:noProof/>
                <w:webHidden/>
              </w:rPr>
              <w:fldChar w:fldCharType="end"/>
            </w:r>
          </w:hyperlink>
        </w:p>
        <w:p w:rsidR="00BD6FC5" w:rsidRDefault="00275EE0">
          <w:pPr>
            <w:pStyle w:val="TOC2"/>
            <w:tabs>
              <w:tab w:val="right" w:leader="dot" w:pos="9350"/>
            </w:tabs>
            <w:rPr>
              <w:rFonts w:eastAsiaTheme="minorEastAsia"/>
              <w:noProof/>
              <w:lang w:val="en-US"/>
            </w:rPr>
          </w:pPr>
          <w:hyperlink w:anchor="_Toc403474328" w:history="1">
            <w:r w:rsidR="00BD6FC5" w:rsidRPr="00862898">
              <w:rPr>
                <w:rStyle w:val="Hyperlink"/>
                <w:rFonts w:asciiTheme="majorHAnsi" w:eastAsiaTheme="majorEastAsia" w:hAnsiTheme="majorHAnsi" w:cstheme="majorBidi"/>
                <w:b/>
                <w:noProof/>
                <w:lang w:val="en-US"/>
              </w:rPr>
              <w:t>F – Timeline of deliverables and early income projections</w:t>
            </w:r>
            <w:r w:rsidR="00BD6FC5">
              <w:rPr>
                <w:noProof/>
                <w:webHidden/>
              </w:rPr>
              <w:tab/>
            </w:r>
            <w:r w:rsidR="00BD6FC5">
              <w:rPr>
                <w:noProof/>
                <w:webHidden/>
              </w:rPr>
              <w:fldChar w:fldCharType="begin"/>
            </w:r>
            <w:r w:rsidR="00BD6FC5">
              <w:rPr>
                <w:noProof/>
                <w:webHidden/>
              </w:rPr>
              <w:instrText xml:space="preserve"> PAGEREF _Toc403474328 \h </w:instrText>
            </w:r>
            <w:r w:rsidR="00BD6FC5">
              <w:rPr>
                <w:noProof/>
                <w:webHidden/>
              </w:rPr>
            </w:r>
            <w:r w:rsidR="00BD6FC5">
              <w:rPr>
                <w:noProof/>
                <w:webHidden/>
              </w:rPr>
              <w:fldChar w:fldCharType="separate"/>
            </w:r>
            <w:r w:rsidR="00BD6FC5">
              <w:rPr>
                <w:noProof/>
                <w:webHidden/>
              </w:rPr>
              <w:t>13</w:t>
            </w:r>
            <w:r w:rsidR="00BD6FC5">
              <w:rPr>
                <w:noProof/>
                <w:webHidden/>
              </w:rPr>
              <w:fldChar w:fldCharType="end"/>
            </w:r>
          </w:hyperlink>
        </w:p>
        <w:p w:rsidR="00BD6FC5" w:rsidRDefault="00275EE0">
          <w:pPr>
            <w:pStyle w:val="TOC2"/>
            <w:tabs>
              <w:tab w:val="right" w:leader="dot" w:pos="9350"/>
            </w:tabs>
            <w:rPr>
              <w:rFonts w:eastAsiaTheme="minorEastAsia"/>
              <w:noProof/>
              <w:lang w:val="en-US"/>
            </w:rPr>
          </w:pPr>
          <w:hyperlink w:anchor="_Toc403474329" w:history="1">
            <w:r w:rsidR="00BD6FC5" w:rsidRPr="00862898">
              <w:rPr>
                <w:rStyle w:val="Hyperlink"/>
                <w:b/>
                <w:noProof/>
                <w:lang w:val="en-US"/>
              </w:rPr>
              <w:t>G – PIARCS as a robust investment</w:t>
            </w:r>
            <w:r w:rsidR="00BD6FC5">
              <w:rPr>
                <w:noProof/>
                <w:webHidden/>
              </w:rPr>
              <w:tab/>
            </w:r>
            <w:r w:rsidR="00BD6FC5">
              <w:rPr>
                <w:noProof/>
                <w:webHidden/>
              </w:rPr>
              <w:fldChar w:fldCharType="begin"/>
            </w:r>
            <w:r w:rsidR="00BD6FC5">
              <w:rPr>
                <w:noProof/>
                <w:webHidden/>
              </w:rPr>
              <w:instrText xml:space="preserve"> PAGEREF _Toc403474329 \h </w:instrText>
            </w:r>
            <w:r w:rsidR="00BD6FC5">
              <w:rPr>
                <w:noProof/>
                <w:webHidden/>
              </w:rPr>
            </w:r>
            <w:r w:rsidR="00BD6FC5">
              <w:rPr>
                <w:noProof/>
                <w:webHidden/>
              </w:rPr>
              <w:fldChar w:fldCharType="separate"/>
            </w:r>
            <w:r w:rsidR="00BD6FC5">
              <w:rPr>
                <w:noProof/>
                <w:webHidden/>
              </w:rPr>
              <w:t>14</w:t>
            </w:r>
            <w:r w:rsidR="00BD6FC5">
              <w:rPr>
                <w:noProof/>
                <w:webHidden/>
              </w:rPr>
              <w:fldChar w:fldCharType="end"/>
            </w:r>
          </w:hyperlink>
        </w:p>
        <w:p w:rsidR="00BD6FC5" w:rsidRDefault="00275EE0">
          <w:pPr>
            <w:pStyle w:val="TOC1"/>
            <w:tabs>
              <w:tab w:val="right" w:leader="dot" w:pos="9350"/>
            </w:tabs>
            <w:rPr>
              <w:rFonts w:eastAsiaTheme="minorEastAsia"/>
              <w:noProof/>
              <w:lang w:val="en-US"/>
            </w:rPr>
          </w:pPr>
          <w:hyperlink w:anchor="_Toc403474330" w:history="1">
            <w:r w:rsidR="00BD6FC5" w:rsidRPr="00862898">
              <w:rPr>
                <w:rStyle w:val="Hyperlink"/>
                <w:b/>
                <w:noProof/>
                <w:lang w:val="en-US"/>
              </w:rPr>
              <w:t>Section 2: Management and operations</w:t>
            </w:r>
            <w:r w:rsidR="00BD6FC5">
              <w:rPr>
                <w:noProof/>
                <w:webHidden/>
              </w:rPr>
              <w:tab/>
            </w:r>
            <w:r w:rsidR="00BD6FC5">
              <w:rPr>
                <w:noProof/>
                <w:webHidden/>
              </w:rPr>
              <w:fldChar w:fldCharType="begin"/>
            </w:r>
            <w:r w:rsidR="00BD6FC5">
              <w:rPr>
                <w:noProof/>
                <w:webHidden/>
              </w:rPr>
              <w:instrText xml:space="preserve"> PAGEREF _Toc403474330 \h </w:instrText>
            </w:r>
            <w:r w:rsidR="00BD6FC5">
              <w:rPr>
                <w:noProof/>
                <w:webHidden/>
              </w:rPr>
            </w:r>
            <w:r w:rsidR="00BD6FC5">
              <w:rPr>
                <w:noProof/>
                <w:webHidden/>
              </w:rPr>
              <w:fldChar w:fldCharType="separate"/>
            </w:r>
            <w:r w:rsidR="00BD6FC5">
              <w:rPr>
                <w:noProof/>
                <w:webHidden/>
              </w:rPr>
              <w:t>15</w:t>
            </w:r>
            <w:r w:rsidR="00BD6FC5">
              <w:rPr>
                <w:noProof/>
                <w:webHidden/>
              </w:rPr>
              <w:fldChar w:fldCharType="end"/>
            </w:r>
          </w:hyperlink>
        </w:p>
        <w:p w:rsidR="00BD6FC5" w:rsidRDefault="00275EE0">
          <w:pPr>
            <w:pStyle w:val="TOC2"/>
            <w:tabs>
              <w:tab w:val="right" w:leader="dot" w:pos="9350"/>
            </w:tabs>
            <w:rPr>
              <w:rFonts w:eastAsiaTheme="minorEastAsia"/>
              <w:noProof/>
              <w:lang w:val="en-US"/>
            </w:rPr>
          </w:pPr>
          <w:hyperlink w:anchor="_Toc403474331" w:history="1">
            <w:r w:rsidR="00BD6FC5" w:rsidRPr="00862898">
              <w:rPr>
                <w:rStyle w:val="Hyperlink"/>
                <w:b/>
                <w:noProof/>
                <w:lang w:val="en-US"/>
              </w:rPr>
              <w:t>A – Business team (in progress) and location</w:t>
            </w:r>
            <w:r w:rsidR="00BD6FC5">
              <w:rPr>
                <w:noProof/>
                <w:webHidden/>
              </w:rPr>
              <w:tab/>
            </w:r>
            <w:r w:rsidR="00BD6FC5">
              <w:rPr>
                <w:noProof/>
                <w:webHidden/>
              </w:rPr>
              <w:fldChar w:fldCharType="begin"/>
            </w:r>
            <w:r w:rsidR="00BD6FC5">
              <w:rPr>
                <w:noProof/>
                <w:webHidden/>
              </w:rPr>
              <w:instrText xml:space="preserve"> PAGEREF _Toc403474331 \h </w:instrText>
            </w:r>
            <w:r w:rsidR="00BD6FC5">
              <w:rPr>
                <w:noProof/>
                <w:webHidden/>
              </w:rPr>
            </w:r>
            <w:r w:rsidR="00BD6FC5">
              <w:rPr>
                <w:noProof/>
                <w:webHidden/>
              </w:rPr>
              <w:fldChar w:fldCharType="separate"/>
            </w:r>
            <w:r w:rsidR="00BD6FC5">
              <w:rPr>
                <w:noProof/>
                <w:webHidden/>
              </w:rPr>
              <w:t>15</w:t>
            </w:r>
            <w:r w:rsidR="00BD6FC5">
              <w:rPr>
                <w:noProof/>
                <w:webHidden/>
              </w:rPr>
              <w:fldChar w:fldCharType="end"/>
            </w:r>
          </w:hyperlink>
        </w:p>
        <w:p w:rsidR="00BD6FC5" w:rsidRDefault="00275EE0">
          <w:pPr>
            <w:pStyle w:val="TOC2"/>
            <w:tabs>
              <w:tab w:val="right" w:leader="dot" w:pos="9350"/>
            </w:tabs>
            <w:rPr>
              <w:rFonts w:eastAsiaTheme="minorEastAsia"/>
              <w:noProof/>
              <w:lang w:val="en-US"/>
            </w:rPr>
          </w:pPr>
          <w:hyperlink w:anchor="_Toc403474332" w:history="1">
            <w:r w:rsidR="00BD6FC5" w:rsidRPr="00862898">
              <w:rPr>
                <w:rStyle w:val="Hyperlink"/>
                <w:b/>
                <w:noProof/>
                <w:lang w:val="en-US"/>
              </w:rPr>
              <w:t>B – Source and use of funds</w:t>
            </w:r>
            <w:r w:rsidR="00BD6FC5">
              <w:rPr>
                <w:noProof/>
                <w:webHidden/>
              </w:rPr>
              <w:tab/>
            </w:r>
            <w:r w:rsidR="00BD6FC5">
              <w:rPr>
                <w:noProof/>
                <w:webHidden/>
              </w:rPr>
              <w:fldChar w:fldCharType="begin"/>
            </w:r>
            <w:r w:rsidR="00BD6FC5">
              <w:rPr>
                <w:noProof/>
                <w:webHidden/>
              </w:rPr>
              <w:instrText xml:space="preserve"> PAGEREF _Toc403474332 \h </w:instrText>
            </w:r>
            <w:r w:rsidR="00BD6FC5">
              <w:rPr>
                <w:noProof/>
                <w:webHidden/>
              </w:rPr>
            </w:r>
            <w:r w:rsidR="00BD6FC5">
              <w:rPr>
                <w:noProof/>
                <w:webHidden/>
              </w:rPr>
              <w:fldChar w:fldCharType="separate"/>
            </w:r>
            <w:r w:rsidR="00BD6FC5">
              <w:rPr>
                <w:noProof/>
                <w:webHidden/>
              </w:rPr>
              <w:t>16</w:t>
            </w:r>
            <w:r w:rsidR="00BD6FC5">
              <w:rPr>
                <w:noProof/>
                <w:webHidden/>
              </w:rPr>
              <w:fldChar w:fldCharType="end"/>
            </w:r>
          </w:hyperlink>
        </w:p>
        <w:p w:rsidR="00BD6FC5" w:rsidRDefault="00275EE0">
          <w:pPr>
            <w:pStyle w:val="TOC2"/>
            <w:tabs>
              <w:tab w:val="right" w:leader="dot" w:pos="9350"/>
            </w:tabs>
            <w:rPr>
              <w:rFonts w:eastAsiaTheme="minorEastAsia"/>
              <w:noProof/>
              <w:lang w:val="en-US"/>
            </w:rPr>
          </w:pPr>
          <w:hyperlink w:anchor="_Toc403474333" w:history="1">
            <w:r w:rsidR="00BD6FC5" w:rsidRPr="00862898">
              <w:rPr>
                <w:rStyle w:val="Hyperlink"/>
                <w:b/>
                <w:noProof/>
                <w:lang w:val="en-US"/>
              </w:rPr>
              <w:t>C – PIARCS’ licensing fees and break-even analysis</w:t>
            </w:r>
            <w:r w:rsidR="00BD6FC5">
              <w:rPr>
                <w:noProof/>
                <w:webHidden/>
              </w:rPr>
              <w:tab/>
            </w:r>
            <w:r w:rsidR="00BD6FC5">
              <w:rPr>
                <w:noProof/>
                <w:webHidden/>
              </w:rPr>
              <w:fldChar w:fldCharType="begin"/>
            </w:r>
            <w:r w:rsidR="00BD6FC5">
              <w:rPr>
                <w:noProof/>
                <w:webHidden/>
              </w:rPr>
              <w:instrText xml:space="preserve"> PAGEREF _Toc403474333 \h </w:instrText>
            </w:r>
            <w:r w:rsidR="00BD6FC5">
              <w:rPr>
                <w:noProof/>
                <w:webHidden/>
              </w:rPr>
            </w:r>
            <w:r w:rsidR="00BD6FC5">
              <w:rPr>
                <w:noProof/>
                <w:webHidden/>
              </w:rPr>
              <w:fldChar w:fldCharType="separate"/>
            </w:r>
            <w:r w:rsidR="00BD6FC5">
              <w:rPr>
                <w:noProof/>
                <w:webHidden/>
              </w:rPr>
              <w:t>18</w:t>
            </w:r>
            <w:r w:rsidR="00BD6FC5">
              <w:rPr>
                <w:noProof/>
                <w:webHidden/>
              </w:rPr>
              <w:fldChar w:fldCharType="end"/>
            </w:r>
          </w:hyperlink>
        </w:p>
        <w:p w:rsidR="00BD6FC5" w:rsidRDefault="00275EE0">
          <w:pPr>
            <w:pStyle w:val="TOC2"/>
            <w:tabs>
              <w:tab w:val="right" w:leader="dot" w:pos="9350"/>
            </w:tabs>
            <w:rPr>
              <w:rFonts w:eastAsiaTheme="minorEastAsia"/>
              <w:noProof/>
              <w:lang w:val="en-US"/>
            </w:rPr>
          </w:pPr>
          <w:hyperlink w:anchor="_Toc403474334" w:history="1">
            <w:r w:rsidR="00BD6FC5" w:rsidRPr="00862898">
              <w:rPr>
                <w:rStyle w:val="Hyperlink"/>
                <w:b/>
                <w:noProof/>
                <w:lang w:val="en-US"/>
              </w:rPr>
              <w:t>D – Projected revenues</w:t>
            </w:r>
            <w:r w:rsidR="00BD6FC5">
              <w:rPr>
                <w:noProof/>
                <w:webHidden/>
              </w:rPr>
              <w:tab/>
            </w:r>
            <w:r w:rsidR="00BD6FC5">
              <w:rPr>
                <w:noProof/>
                <w:webHidden/>
              </w:rPr>
              <w:fldChar w:fldCharType="begin"/>
            </w:r>
            <w:r w:rsidR="00BD6FC5">
              <w:rPr>
                <w:noProof/>
                <w:webHidden/>
              </w:rPr>
              <w:instrText xml:space="preserve"> PAGEREF _Toc403474334 \h </w:instrText>
            </w:r>
            <w:r w:rsidR="00BD6FC5">
              <w:rPr>
                <w:noProof/>
                <w:webHidden/>
              </w:rPr>
            </w:r>
            <w:r w:rsidR="00BD6FC5">
              <w:rPr>
                <w:noProof/>
                <w:webHidden/>
              </w:rPr>
              <w:fldChar w:fldCharType="separate"/>
            </w:r>
            <w:r w:rsidR="00BD6FC5">
              <w:rPr>
                <w:noProof/>
                <w:webHidden/>
              </w:rPr>
              <w:t>19</w:t>
            </w:r>
            <w:r w:rsidR="00BD6FC5">
              <w:rPr>
                <w:noProof/>
                <w:webHidden/>
              </w:rPr>
              <w:fldChar w:fldCharType="end"/>
            </w:r>
          </w:hyperlink>
        </w:p>
        <w:p w:rsidR="00BD6FC5" w:rsidRDefault="00275EE0">
          <w:pPr>
            <w:pStyle w:val="TOC1"/>
            <w:tabs>
              <w:tab w:val="right" w:leader="dot" w:pos="9350"/>
            </w:tabs>
            <w:rPr>
              <w:rFonts w:eastAsiaTheme="minorEastAsia"/>
              <w:noProof/>
              <w:lang w:val="en-US"/>
            </w:rPr>
          </w:pPr>
          <w:hyperlink w:anchor="_Toc403474335" w:history="1">
            <w:r w:rsidR="00BD6FC5" w:rsidRPr="00862898">
              <w:rPr>
                <w:rStyle w:val="Hyperlink"/>
                <w:rFonts w:asciiTheme="majorHAnsi" w:eastAsiaTheme="majorEastAsia" w:hAnsiTheme="majorHAnsi" w:cstheme="majorBidi"/>
                <w:b/>
                <w:noProof/>
                <w:lang w:val="en-US"/>
              </w:rPr>
              <w:t>Section 3: Dividends, Risk, Valuation, Investment rounds and Corporate structure</w:t>
            </w:r>
            <w:r w:rsidR="00BD6FC5">
              <w:rPr>
                <w:noProof/>
                <w:webHidden/>
              </w:rPr>
              <w:tab/>
            </w:r>
            <w:r w:rsidR="00BD6FC5">
              <w:rPr>
                <w:noProof/>
                <w:webHidden/>
              </w:rPr>
              <w:fldChar w:fldCharType="begin"/>
            </w:r>
            <w:r w:rsidR="00BD6FC5">
              <w:rPr>
                <w:noProof/>
                <w:webHidden/>
              </w:rPr>
              <w:instrText xml:space="preserve"> PAGEREF _Toc403474335 \h </w:instrText>
            </w:r>
            <w:r w:rsidR="00BD6FC5">
              <w:rPr>
                <w:noProof/>
                <w:webHidden/>
              </w:rPr>
            </w:r>
            <w:r w:rsidR="00BD6FC5">
              <w:rPr>
                <w:noProof/>
                <w:webHidden/>
              </w:rPr>
              <w:fldChar w:fldCharType="separate"/>
            </w:r>
            <w:r w:rsidR="00BD6FC5">
              <w:rPr>
                <w:noProof/>
                <w:webHidden/>
              </w:rPr>
              <w:t>21</w:t>
            </w:r>
            <w:r w:rsidR="00BD6FC5">
              <w:rPr>
                <w:noProof/>
                <w:webHidden/>
              </w:rPr>
              <w:fldChar w:fldCharType="end"/>
            </w:r>
          </w:hyperlink>
        </w:p>
        <w:p w:rsidR="00BD6FC5" w:rsidRDefault="00275EE0">
          <w:pPr>
            <w:pStyle w:val="TOC2"/>
            <w:tabs>
              <w:tab w:val="right" w:leader="dot" w:pos="9350"/>
            </w:tabs>
            <w:rPr>
              <w:rFonts w:eastAsiaTheme="minorEastAsia"/>
              <w:noProof/>
              <w:lang w:val="en-US"/>
            </w:rPr>
          </w:pPr>
          <w:hyperlink w:anchor="_Toc403474336" w:history="1">
            <w:r w:rsidR="00BD6FC5" w:rsidRPr="00862898">
              <w:rPr>
                <w:rStyle w:val="Hyperlink"/>
                <w:b/>
                <w:noProof/>
                <w:lang w:val="en-US"/>
              </w:rPr>
              <w:t>A – Proposed dividend returns structure</w:t>
            </w:r>
            <w:r w:rsidR="00BD6FC5">
              <w:rPr>
                <w:noProof/>
                <w:webHidden/>
              </w:rPr>
              <w:tab/>
            </w:r>
            <w:r w:rsidR="00BD6FC5">
              <w:rPr>
                <w:noProof/>
                <w:webHidden/>
              </w:rPr>
              <w:fldChar w:fldCharType="begin"/>
            </w:r>
            <w:r w:rsidR="00BD6FC5">
              <w:rPr>
                <w:noProof/>
                <w:webHidden/>
              </w:rPr>
              <w:instrText xml:space="preserve"> PAGEREF _Toc403474336 \h </w:instrText>
            </w:r>
            <w:r w:rsidR="00BD6FC5">
              <w:rPr>
                <w:noProof/>
                <w:webHidden/>
              </w:rPr>
            </w:r>
            <w:r w:rsidR="00BD6FC5">
              <w:rPr>
                <w:noProof/>
                <w:webHidden/>
              </w:rPr>
              <w:fldChar w:fldCharType="separate"/>
            </w:r>
            <w:r w:rsidR="00BD6FC5">
              <w:rPr>
                <w:noProof/>
                <w:webHidden/>
              </w:rPr>
              <w:t>21</w:t>
            </w:r>
            <w:r w:rsidR="00BD6FC5">
              <w:rPr>
                <w:noProof/>
                <w:webHidden/>
              </w:rPr>
              <w:fldChar w:fldCharType="end"/>
            </w:r>
          </w:hyperlink>
        </w:p>
        <w:p w:rsidR="00BD6FC5" w:rsidRDefault="00275EE0">
          <w:pPr>
            <w:pStyle w:val="TOC3"/>
            <w:tabs>
              <w:tab w:val="left" w:pos="880"/>
              <w:tab w:val="right" w:leader="dot" w:pos="9350"/>
            </w:tabs>
            <w:rPr>
              <w:rFonts w:eastAsiaTheme="minorEastAsia"/>
              <w:noProof/>
              <w:lang w:val="en-US"/>
            </w:rPr>
          </w:pPr>
          <w:hyperlink w:anchor="_Toc403474337" w:history="1">
            <w:r w:rsidR="00BD6FC5" w:rsidRPr="00862898">
              <w:rPr>
                <w:rStyle w:val="Hyperlink"/>
                <w:noProof/>
                <w:lang w:val="en-US"/>
              </w:rPr>
              <w:t>a)</w:t>
            </w:r>
            <w:r w:rsidR="00BD6FC5">
              <w:rPr>
                <w:rFonts w:eastAsiaTheme="minorEastAsia"/>
                <w:noProof/>
                <w:lang w:val="en-US"/>
              </w:rPr>
              <w:tab/>
            </w:r>
            <w:r w:rsidR="00BD6FC5" w:rsidRPr="00862898">
              <w:rPr>
                <w:rStyle w:val="Hyperlink"/>
                <w:noProof/>
                <w:lang w:val="en-US"/>
              </w:rPr>
              <w:t>Some key definitions</w:t>
            </w:r>
            <w:r w:rsidR="00BD6FC5">
              <w:rPr>
                <w:noProof/>
                <w:webHidden/>
              </w:rPr>
              <w:tab/>
            </w:r>
            <w:r w:rsidR="00BD6FC5">
              <w:rPr>
                <w:noProof/>
                <w:webHidden/>
              </w:rPr>
              <w:fldChar w:fldCharType="begin"/>
            </w:r>
            <w:r w:rsidR="00BD6FC5">
              <w:rPr>
                <w:noProof/>
                <w:webHidden/>
              </w:rPr>
              <w:instrText xml:space="preserve"> PAGEREF _Toc403474337 \h </w:instrText>
            </w:r>
            <w:r w:rsidR="00BD6FC5">
              <w:rPr>
                <w:noProof/>
                <w:webHidden/>
              </w:rPr>
            </w:r>
            <w:r w:rsidR="00BD6FC5">
              <w:rPr>
                <w:noProof/>
                <w:webHidden/>
              </w:rPr>
              <w:fldChar w:fldCharType="separate"/>
            </w:r>
            <w:r w:rsidR="00BD6FC5">
              <w:rPr>
                <w:noProof/>
                <w:webHidden/>
              </w:rPr>
              <w:t>21</w:t>
            </w:r>
            <w:r w:rsidR="00BD6FC5">
              <w:rPr>
                <w:noProof/>
                <w:webHidden/>
              </w:rPr>
              <w:fldChar w:fldCharType="end"/>
            </w:r>
          </w:hyperlink>
        </w:p>
        <w:p w:rsidR="00BD6FC5" w:rsidRDefault="00275EE0">
          <w:pPr>
            <w:pStyle w:val="TOC3"/>
            <w:tabs>
              <w:tab w:val="left" w:pos="880"/>
              <w:tab w:val="right" w:leader="dot" w:pos="9350"/>
            </w:tabs>
            <w:rPr>
              <w:rFonts w:eastAsiaTheme="minorEastAsia"/>
              <w:noProof/>
              <w:lang w:val="en-US"/>
            </w:rPr>
          </w:pPr>
          <w:hyperlink w:anchor="_Toc403474338" w:history="1">
            <w:r w:rsidR="00BD6FC5" w:rsidRPr="00862898">
              <w:rPr>
                <w:rStyle w:val="Hyperlink"/>
                <w:noProof/>
                <w:lang w:val="en-US"/>
              </w:rPr>
              <w:t>b)</w:t>
            </w:r>
            <w:r w:rsidR="00BD6FC5">
              <w:rPr>
                <w:rFonts w:eastAsiaTheme="minorEastAsia"/>
                <w:noProof/>
                <w:lang w:val="en-US"/>
              </w:rPr>
              <w:tab/>
            </w:r>
            <w:r w:rsidR="00BD6FC5" w:rsidRPr="00862898">
              <w:rPr>
                <w:rStyle w:val="Hyperlink"/>
                <w:noProof/>
                <w:lang w:val="en-US"/>
              </w:rPr>
              <w:t>Dividends on Series A Preferred Stock</w:t>
            </w:r>
            <w:r w:rsidR="00BD6FC5">
              <w:rPr>
                <w:noProof/>
                <w:webHidden/>
              </w:rPr>
              <w:tab/>
            </w:r>
            <w:r w:rsidR="00BD6FC5">
              <w:rPr>
                <w:noProof/>
                <w:webHidden/>
              </w:rPr>
              <w:fldChar w:fldCharType="begin"/>
            </w:r>
            <w:r w:rsidR="00BD6FC5">
              <w:rPr>
                <w:noProof/>
                <w:webHidden/>
              </w:rPr>
              <w:instrText xml:space="preserve"> PAGEREF _Toc403474338 \h </w:instrText>
            </w:r>
            <w:r w:rsidR="00BD6FC5">
              <w:rPr>
                <w:noProof/>
                <w:webHidden/>
              </w:rPr>
            </w:r>
            <w:r w:rsidR="00BD6FC5">
              <w:rPr>
                <w:noProof/>
                <w:webHidden/>
              </w:rPr>
              <w:fldChar w:fldCharType="separate"/>
            </w:r>
            <w:r w:rsidR="00BD6FC5">
              <w:rPr>
                <w:noProof/>
                <w:webHidden/>
              </w:rPr>
              <w:t>22</w:t>
            </w:r>
            <w:r w:rsidR="00BD6FC5">
              <w:rPr>
                <w:noProof/>
                <w:webHidden/>
              </w:rPr>
              <w:fldChar w:fldCharType="end"/>
            </w:r>
          </w:hyperlink>
        </w:p>
        <w:p w:rsidR="00BD6FC5" w:rsidRDefault="00275EE0">
          <w:pPr>
            <w:pStyle w:val="TOC3"/>
            <w:tabs>
              <w:tab w:val="left" w:pos="880"/>
              <w:tab w:val="right" w:leader="dot" w:pos="9350"/>
            </w:tabs>
            <w:rPr>
              <w:rFonts w:eastAsiaTheme="minorEastAsia"/>
              <w:noProof/>
              <w:lang w:val="en-US"/>
            </w:rPr>
          </w:pPr>
          <w:hyperlink w:anchor="_Toc403474339" w:history="1">
            <w:r w:rsidR="00BD6FC5" w:rsidRPr="00862898">
              <w:rPr>
                <w:rStyle w:val="Hyperlink"/>
                <w:noProof/>
                <w:lang w:val="en-US"/>
              </w:rPr>
              <w:t>c)</w:t>
            </w:r>
            <w:r w:rsidR="00BD6FC5">
              <w:rPr>
                <w:rFonts w:eastAsiaTheme="minorEastAsia"/>
                <w:noProof/>
                <w:lang w:val="en-US"/>
              </w:rPr>
              <w:tab/>
            </w:r>
            <w:r w:rsidR="00BD6FC5" w:rsidRPr="00862898">
              <w:rPr>
                <w:rStyle w:val="Hyperlink"/>
                <w:noProof/>
                <w:lang w:val="en-US"/>
              </w:rPr>
              <w:t>Dividends on Common Stocks: a slow and conditional accrual of dividends</w:t>
            </w:r>
            <w:r w:rsidR="00BD6FC5">
              <w:rPr>
                <w:noProof/>
                <w:webHidden/>
              </w:rPr>
              <w:tab/>
            </w:r>
            <w:r w:rsidR="00BD6FC5">
              <w:rPr>
                <w:noProof/>
                <w:webHidden/>
              </w:rPr>
              <w:fldChar w:fldCharType="begin"/>
            </w:r>
            <w:r w:rsidR="00BD6FC5">
              <w:rPr>
                <w:noProof/>
                <w:webHidden/>
              </w:rPr>
              <w:instrText xml:space="preserve"> PAGEREF _Toc403474339 \h </w:instrText>
            </w:r>
            <w:r w:rsidR="00BD6FC5">
              <w:rPr>
                <w:noProof/>
                <w:webHidden/>
              </w:rPr>
            </w:r>
            <w:r w:rsidR="00BD6FC5">
              <w:rPr>
                <w:noProof/>
                <w:webHidden/>
              </w:rPr>
              <w:fldChar w:fldCharType="separate"/>
            </w:r>
            <w:r w:rsidR="00BD6FC5">
              <w:rPr>
                <w:noProof/>
                <w:webHidden/>
              </w:rPr>
              <w:t>24</w:t>
            </w:r>
            <w:r w:rsidR="00BD6FC5">
              <w:rPr>
                <w:noProof/>
                <w:webHidden/>
              </w:rPr>
              <w:fldChar w:fldCharType="end"/>
            </w:r>
          </w:hyperlink>
        </w:p>
        <w:p w:rsidR="00BD6FC5" w:rsidRDefault="00275EE0">
          <w:pPr>
            <w:pStyle w:val="TOC3"/>
            <w:tabs>
              <w:tab w:val="left" w:pos="880"/>
              <w:tab w:val="right" w:leader="dot" w:pos="9350"/>
            </w:tabs>
            <w:rPr>
              <w:rFonts w:eastAsiaTheme="minorEastAsia"/>
              <w:noProof/>
              <w:lang w:val="en-US"/>
            </w:rPr>
          </w:pPr>
          <w:hyperlink w:anchor="_Toc403474340" w:history="1">
            <w:r w:rsidR="00BD6FC5" w:rsidRPr="00862898">
              <w:rPr>
                <w:rStyle w:val="Hyperlink"/>
                <w:noProof/>
                <w:lang w:val="en-US"/>
              </w:rPr>
              <w:t>d)</w:t>
            </w:r>
            <w:r w:rsidR="00BD6FC5">
              <w:rPr>
                <w:rFonts w:eastAsiaTheme="minorEastAsia"/>
                <w:noProof/>
                <w:lang w:val="en-US"/>
              </w:rPr>
              <w:tab/>
            </w:r>
            <w:r w:rsidR="00BD6FC5" w:rsidRPr="00862898">
              <w:rPr>
                <w:rStyle w:val="Hyperlink"/>
                <w:noProof/>
                <w:lang w:val="en-US"/>
              </w:rPr>
              <w:t>PIARCS’ dividend projections</w:t>
            </w:r>
            <w:r w:rsidR="00BD6FC5">
              <w:rPr>
                <w:noProof/>
                <w:webHidden/>
              </w:rPr>
              <w:tab/>
            </w:r>
            <w:r w:rsidR="00BD6FC5">
              <w:rPr>
                <w:noProof/>
                <w:webHidden/>
              </w:rPr>
              <w:fldChar w:fldCharType="begin"/>
            </w:r>
            <w:r w:rsidR="00BD6FC5">
              <w:rPr>
                <w:noProof/>
                <w:webHidden/>
              </w:rPr>
              <w:instrText xml:space="preserve"> PAGEREF _Toc403474340 \h </w:instrText>
            </w:r>
            <w:r w:rsidR="00BD6FC5">
              <w:rPr>
                <w:noProof/>
                <w:webHidden/>
              </w:rPr>
            </w:r>
            <w:r w:rsidR="00BD6FC5">
              <w:rPr>
                <w:noProof/>
                <w:webHidden/>
              </w:rPr>
              <w:fldChar w:fldCharType="separate"/>
            </w:r>
            <w:r w:rsidR="00BD6FC5">
              <w:rPr>
                <w:noProof/>
                <w:webHidden/>
              </w:rPr>
              <w:t>25</w:t>
            </w:r>
            <w:r w:rsidR="00BD6FC5">
              <w:rPr>
                <w:noProof/>
                <w:webHidden/>
              </w:rPr>
              <w:fldChar w:fldCharType="end"/>
            </w:r>
          </w:hyperlink>
        </w:p>
        <w:p w:rsidR="00BD6FC5" w:rsidRDefault="00275EE0">
          <w:pPr>
            <w:pStyle w:val="TOC2"/>
            <w:tabs>
              <w:tab w:val="right" w:leader="dot" w:pos="9350"/>
            </w:tabs>
            <w:rPr>
              <w:rFonts w:eastAsiaTheme="minorEastAsia"/>
              <w:noProof/>
              <w:lang w:val="en-US"/>
            </w:rPr>
          </w:pPr>
          <w:hyperlink w:anchor="_Toc403474341" w:history="1">
            <w:r w:rsidR="00BD6FC5" w:rsidRPr="00862898">
              <w:rPr>
                <w:rStyle w:val="Hyperlink"/>
                <w:rFonts w:asciiTheme="majorHAnsi" w:eastAsiaTheme="majorEastAsia" w:hAnsiTheme="majorHAnsi" w:cstheme="majorBidi"/>
                <w:b/>
                <w:noProof/>
                <w:lang w:val="en-US"/>
              </w:rPr>
              <w:t>B – Risks and mitigating factors</w:t>
            </w:r>
            <w:r w:rsidR="00BD6FC5">
              <w:rPr>
                <w:noProof/>
                <w:webHidden/>
              </w:rPr>
              <w:tab/>
            </w:r>
            <w:r w:rsidR="00BD6FC5">
              <w:rPr>
                <w:noProof/>
                <w:webHidden/>
              </w:rPr>
              <w:fldChar w:fldCharType="begin"/>
            </w:r>
            <w:r w:rsidR="00BD6FC5">
              <w:rPr>
                <w:noProof/>
                <w:webHidden/>
              </w:rPr>
              <w:instrText xml:space="preserve"> PAGEREF _Toc403474341 \h </w:instrText>
            </w:r>
            <w:r w:rsidR="00BD6FC5">
              <w:rPr>
                <w:noProof/>
                <w:webHidden/>
              </w:rPr>
            </w:r>
            <w:r w:rsidR="00BD6FC5">
              <w:rPr>
                <w:noProof/>
                <w:webHidden/>
              </w:rPr>
              <w:fldChar w:fldCharType="separate"/>
            </w:r>
            <w:r w:rsidR="00BD6FC5">
              <w:rPr>
                <w:noProof/>
                <w:webHidden/>
              </w:rPr>
              <w:t>26</w:t>
            </w:r>
            <w:r w:rsidR="00BD6FC5">
              <w:rPr>
                <w:noProof/>
                <w:webHidden/>
              </w:rPr>
              <w:fldChar w:fldCharType="end"/>
            </w:r>
          </w:hyperlink>
        </w:p>
        <w:p w:rsidR="00BD6FC5" w:rsidRDefault="00275EE0">
          <w:pPr>
            <w:pStyle w:val="TOC2"/>
            <w:tabs>
              <w:tab w:val="right" w:leader="dot" w:pos="9350"/>
            </w:tabs>
            <w:rPr>
              <w:rFonts w:eastAsiaTheme="minorEastAsia"/>
              <w:noProof/>
              <w:lang w:val="en-US"/>
            </w:rPr>
          </w:pPr>
          <w:hyperlink w:anchor="_Toc403474342" w:history="1">
            <w:r w:rsidR="00BD6FC5" w:rsidRPr="00862898">
              <w:rPr>
                <w:rStyle w:val="Hyperlink"/>
                <w:rFonts w:asciiTheme="majorHAnsi" w:eastAsiaTheme="majorEastAsia" w:hAnsiTheme="majorHAnsi" w:cstheme="majorBidi"/>
                <w:b/>
                <w:noProof/>
                <w:lang w:val="en-US"/>
              </w:rPr>
              <w:t>C – Risk mitigation in terms of probabilities</w:t>
            </w:r>
            <w:r w:rsidR="00BD6FC5">
              <w:rPr>
                <w:noProof/>
                <w:webHidden/>
              </w:rPr>
              <w:tab/>
            </w:r>
            <w:r w:rsidR="00BD6FC5">
              <w:rPr>
                <w:noProof/>
                <w:webHidden/>
              </w:rPr>
              <w:fldChar w:fldCharType="begin"/>
            </w:r>
            <w:r w:rsidR="00BD6FC5">
              <w:rPr>
                <w:noProof/>
                <w:webHidden/>
              </w:rPr>
              <w:instrText xml:space="preserve"> PAGEREF _Toc403474342 \h </w:instrText>
            </w:r>
            <w:r w:rsidR="00BD6FC5">
              <w:rPr>
                <w:noProof/>
                <w:webHidden/>
              </w:rPr>
            </w:r>
            <w:r w:rsidR="00BD6FC5">
              <w:rPr>
                <w:noProof/>
                <w:webHidden/>
              </w:rPr>
              <w:fldChar w:fldCharType="separate"/>
            </w:r>
            <w:r w:rsidR="00BD6FC5">
              <w:rPr>
                <w:noProof/>
                <w:webHidden/>
              </w:rPr>
              <w:t>27</w:t>
            </w:r>
            <w:r w:rsidR="00BD6FC5">
              <w:rPr>
                <w:noProof/>
                <w:webHidden/>
              </w:rPr>
              <w:fldChar w:fldCharType="end"/>
            </w:r>
          </w:hyperlink>
        </w:p>
        <w:p w:rsidR="00BD6FC5" w:rsidRDefault="00275EE0">
          <w:pPr>
            <w:pStyle w:val="TOC2"/>
            <w:tabs>
              <w:tab w:val="right" w:leader="dot" w:pos="9350"/>
            </w:tabs>
            <w:rPr>
              <w:rFonts w:eastAsiaTheme="minorEastAsia"/>
              <w:noProof/>
              <w:lang w:val="en-US"/>
            </w:rPr>
          </w:pPr>
          <w:hyperlink w:anchor="_Toc403474343" w:history="1">
            <w:r w:rsidR="00BD6FC5" w:rsidRPr="00862898">
              <w:rPr>
                <w:rStyle w:val="Hyperlink"/>
                <w:rFonts w:asciiTheme="majorHAnsi" w:eastAsiaTheme="majorEastAsia" w:hAnsiTheme="majorHAnsi" w:cstheme="majorBidi"/>
                <w:b/>
                <w:noProof/>
                <w:lang w:val="en-US"/>
              </w:rPr>
              <w:t>D – Valuation (seed funding stage)</w:t>
            </w:r>
            <w:r w:rsidR="00BD6FC5">
              <w:rPr>
                <w:noProof/>
                <w:webHidden/>
              </w:rPr>
              <w:tab/>
            </w:r>
            <w:r w:rsidR="00BD6FC5">
              <w:rPr>
                <w:noProof/>
                <w:webHidden/>
              </w:rPr>
              <w:fldChar w:fldCharType="begin"/>
            </w:r>
            <w:r w:rsidR="00BD6FC5">
              <w:rPr>
                <w:noProof/>
                <w:webHidden/>
              </w:rPr>
              <w:instrText xml:space="preserve"> PAGEREF _Toc403474343 \h </w:instrText>
            </w:r>
            <w:r w:rsidR="00BD6FC5">
              <w:rPr>
                <w:noProof/>
                <w:webHidden/>
              </w:rPr>
            </w:r>
            <w:r w:rsidR="00BD6FC5">
              <w:rPr>
                <w:noProof/>
                <w:webHidden/>
              </w:rPr>
              <w:fldChar w:fldCharType="separate"/>
            </w:r>
            <w:r w:rsidR="00BD6FC5">
              <w:rPr>
                <w:noProof/>
                <w:webHidden/>
              </w:rPr>
              <w:t>28</w:t>
            </w:r>
            <w:r w:rsidR="00BD6FC5">
              <w:rPr>
                <w:noProof/>
                <w:webHidden/>
              </w:rPr>
              <w:fldChar w:fldCharType="end"/>
            </w:r>
          </w:hyperlink>
        </w:p>
        <w:p w:rsidR="00BD6FC5" w:rsidRDefault="00275EE0">
          <w:pPr>
            <w:pStyle w:val="TOC2"/>
            <w:tabs>
              <w:tab w:val="right" w:leader="dot" w:pos="9350"/>
            </w:tabs>
            <w:rPr>
              <w:rFonts w:eastAsiaTheme="minorEastAsia"/>
              <w:noProof/>
              <w:lang w:val="en-US"/>
            </w:rPr>
          </w:pPr>
          <w:hyperlink w:anchor="_Toc403474344" w:history="1">
            <w:r w:rsidR="00BD6FC5" w:rsidRPr="00862898">
              <w:rPr>
                <w:rStyle w:val="Hyperlink"/>
                <w:rFonts w:asciiTheme="majorHAnsi" w:eastAsiaTheme="majorEastAsia" w:hAnsiTheme="majorHAnsi" w:cstheme="majorBidi"/>
                <w:b/>
                <w:noProof/>
                <w:lang w:val="en-US"/>
              </w:rPr>
              <w:t>E – Planned investment rounds</w:t>
            </w:r>
            <w:r w:rsidR="00BD6FC5">
              <w:rPr>
                <w:noProof/>
                <w:webHidden/>
              </w:rPr>
              <w:tab/>
            </w:r>
            <w:r w:rsidR="00BD6FC5">
              <w:rPr>
                <w:noProof/>
                <w:webHidden/>
              </w:rPr>
              <w:fldChar w:fldCharType="begin"/>
            </w:r>
            <w:r w:rsidR="00BD6FC5">
              <w:rPr>
                <w:noProof/>
                <w:webHidden/>
              </w:rPr>
              <w:instrText xml:space="preserve"> PAGEREF _Toc403474344 \h </w:instrText>
            </w:r>
            <w:r w:rsidR="00BD6FC5">
              <w:rPr>
                <w:noProof/>
                <w:webHidden/>
              </w:rPr>
            </w:r>
            <w:r w:rsidR="00BD6FC5">
              <w:rPr>
                <w:noProof/>
                <w:webHidden/>
              </w:rPr>
              <w:fldChar w:fldCharType="separate"/>
            </w:r>
            <w:r w:rsidR="00BD6FC5">
              <w:rPr>
                <w:noProof/>
                <w:webHidden/>
              </w:rPr>
              <w:t>30</w:t>
            </w:r>
            <w:r w:rsidR="00BD6FC5">
              <w:rPr>
                <w:noProof/>
                <w:webHidden/>
              </w:rPr>
              <w:fldChar w:fldCharType="end"/>
            </w:r>
          </w:hyperlink>
        </w:p>
        <w:p w:rsidR="00BD6FC5" w:rsidRDefault="00275EE0">
          <w:pPr>
            <w:pStyle w:val="TOC2"/>
            <w:tabs>
              <w:tab w:val="right" w:leader="dot" w:pos="9350"/>
            </w:tabs>
            <w:rPr>
              <w:rFonts w:eastAsiaTheme="minorEastAsia"/>
              <w:noProof/>
              <w:lang w:val="en-US"/>
            </w:rPr>
          </w:pPr>
          <w:hyperlink w:anchor="_Toc403474345" w:history="1">
            <w:r w:rsidR="00BD6FC5" w:rsidRPr="00862898">
              <w:rPr>
                <w:rStyle w:val="Hyperlink"/>
                <w:rFonts w:asciiTheme="majorHAnsi" w:eastAsiaTheme="majorEastAsia" w:hAnsiTheme="majorHAnsi" w:cstheme="majorBidi"/>
                <w:b/>
                <w:noProof/>
                <w:lang w:val="en-US"/>
              </w:rPr>
              <w:t>F – PIARCS’ corporate structure and taxation</w:t>
            </w:r>
            <w:r w:rsidR="00BD6FC5">
              <w:rPr>
                <w:noProof/>
                <w:webHidden/>
              </w:rPr>
              <w:tab/>
            </w:r>
            <w:r w:rsidR="00BD6FC5">
              <w:rPr>
                <w:noProof/>
                <w:webHidden/>
              </w:rPr>
              <w:fldChar w:fldCharType="begin"/>
            </w:r>
            <w:r w:rsidR="00BD6FC5">
              <w:rPr>
                <w:noProof/>
                <w:webHidden/>
              </w:rPr>
              <w:instrText xml:space="preserve"> PAGEREF _Toc403474345 \h </w:instrText>
            </w:r>
            <w:r w:rsidR="00BD6FC5">
              <w:rPr>
                <w:noProof/>
                <w:webHidden/>
              </w:rPr>
            </w:r>
            <w:r w:rsidR="00BD6FC5">
              <w:rPr>
                <w:noProof/>
                <w:webHidden/>
              </w:rPr>
              <w:fldChar w:fldCharType="separate"/>
            </w:r>
            <w:r w:rsidR="00BD6FC5">
              <w:rPr>
                <w:noProof/>
                <w:webHidden/>
              </w:rPr>
              <w:t>30</w:t>
            </w:r>
            <w:r w:rsidR="00BD6FC5">
              <w:rPr>
                <w:noProof/>
                <w:webHidden/>
              </w:rPr>
              <w:fldChar w:fldCharType="end"/>
            </w:r>
          </w:hyperlink>
        </w:p>
        <w:p w:rsidR="00BD6FC5" w:rsidRDefault="00275EE0">
          <w:pPr>
            <w:pStyle w:val="TOC1"/>
            <w:tabs>
              <w:tab w:val="right" w:leader="dot" w:pos="9350"/>
            </w:tabs>
            <w:rPr>
              <w:rFonts w:eastAsiaTheme="minorEastAsia"/>
              <w:noProof/>
              <w:lang w:val="en-US"/>
            </w:rPr>
          </w:pPr>
          <w:hyperlink w:anchor="_Toc403474346" w:history="1">
            <w:r w:rsidR="00BD6FC5" w:rsidRPr="00862898">
              <w:rPr>
                <w:rStyle w:val="Hyperlink"/>
                <w:rFonts w:asciiTheme="majorHAnsi" w:eastAsiaTheme="majorEastAsia" w:hAnsiTheme="majorHAnsi" w:cstheme="majorBidi"/>
                <w:b/>
                <w:noProof/>
                <w:lang w:val="en-US"/>
              </w:rPr>
              <w:t>Section 4: Appendix and Supporting Documents</w:t>
            </w:r>
            <w:r w:rsidR="00BD6FC5">
              <w:rPr>
                <w:noProof/>
                <w:webHidden/>
              </w:rPr>
              <w:tab/>
            </w:r>
            <w:r w:rsidR="00BD6FC5">
              <w:rPr>
                <w:noProof/>
                <w:webHidden/>
              </w:rPr>
              <w:fldChar w:fldCharType="begin"/>
            </w:r>
            <w:r w:rsidR="00BD6FC5">
              <w:rPr>
                <w:noProof/>
                <w:webHidden/>
              </w:rPr>
              <w:instrText xml:space="preserve"> PAGEREF _Toc403474346 \h </w:instrText>
            </w:r>
            <w:r w:rsidR="00BD6FC5">
              <w:rPr>
                <w:noProof/>
                <w:webHidden/>
              </w:rPr>
            </w:r>
            <w:r w:rsidR="00BD6FC5">
              <w:rPr>
                <w:noProof/>
                <w:webHidden/>
              </w:rPr>
              <w:fldChar w:fldCharType="separate"/>
            </w:r>
            <w:r w:rsidR="00BD6FC5">
              <w:rPr>
                <w:noProof/>
                <w:webHidden/>
              </w:rPr>
              <w:t>31</w:t>
            </w:r>
            <w:r w:rsidR="00BD6FC5">
              <w:rPr>
                <w:noProof/>
                <w:webHidden/>
              </w:rPr>
              <w:fldChar w:fldCharType="end"/>
            </w:r>
          </w:hyperlink>
        </w:p>
        <w:p w:rsidR="00BD6FC5" w:rsidRDefault="00275EE0">
          <w:pPr>
            <w:pStyle w:val="TOC2"/>
            <w:tabs>
              <w:tab w:val="right" w:leader="dot" w:pos="9350"/>
            </w:tabs>
            <w:rPr>
              <w:rFonts w:eastAsiaTheme="minorEastAsia"/>
              <w:noProof/>
              <w:lang w:val="en-US"/>
            </w:rPr>
          </w:pPr>
          <w:hyperlink w:anchor="_Toc403474347" w:history="1">
            <w:r w:rsidR="00BD6FC5" w:rsidRPr="00862898">
              <w:rPr>
                <w:rStyle w:val="Hyperlink"/>
                <w:rFonts w:asciiTheme="majorHAnsi" w:eastAsiaTheme="majorEastAsia" w:hAnsiTheme="majorHAnsi" w:cstheme="majorBidi"/>
                <w:b/>
                <w:noProof/>
                <w:lang w:val="en-US"/>
              </w:rPr>
              <w:t>A – PIARCS’ founder CV</w:t>
            </w:r>
            <w:r w:rsidR="00BD6FC5">
              <w:rPr>
                <w:noProof/>
                <w:webHidden/>
              </w:rPr>
              <w:tab/>
            </w:r>
            <w:r w:rsidR="00BD6FC5">
              <w:rPr>
                <w:noProof/>
                <w:webHidden/>
              </w:rPr>
              <w:fldChar w:fldCharType="begin"/>
            </w:r>
            <w:r w:rsidR="00BD6FC5">
              <w:rPr>
                <w:noProof/>
                <w:webHidden/>
              </w:rPr>
              <w:instrText xml:space="preserve"> PAGEREF _Toc403474347 \h </w:instrText>
            </w:r>
            <w:r w:rsidR="00BD6FC5">
              <w:rPr>
                <w:noProof/>
                <w:webHidden/>
              </w:rPr>
            </w:r>
            <w:r w:rsidR="00BD6FC5">
              <w:rPr>
                <w:noProof/>
                <w:webHidden/>
              </w:rPr>
              <w:fldChar w:fldCharType="separate"/>
            </w:r>
            <w:r w:rsidR="00BD6FC5">
              <w:rPr>
                <w:noProof/>
                <w:webHidden/>
              </w:rPr>
              <w:t>31</w:t>
            </w:r>
            <w:r w:rsidR="00BD6FC5">
              <w:rPr>
                <w:noProof/>
                <w:webHidden/>
              </w:rPr>
              <w:fldChar w:fldCharType="end"/>
            </w:r>
          </w:hyperlink>
        </w:p>
        <w:p w:rsidR="00BD6FC5" w:rsidRDefault="00275EE0">
          <w:pPr>
            <w:pStyle w:val="TOC2"/>
            <w:tabs>
              <w:tab w:val="right" w:leader="dot" w:pos="9350"/>
            </w:tabs>
            <w:rPr>
              <w:rFonts w:eastAsiaTheme="minorEastAsia"/>
              <w:noProof/>
              <w:lang w:val="en-US"/>
            </w:rPr>
          </w:pPr>
          <w:hyperlink w:anchor="_Toc403474348" w:history="1">
            <w:r w:rsidR="00BD6FC5" w:rsidRPr="00862898">
              <w:rPr>
                <w:rStyle w:val="Hyperlink"/>
                <w:rFonts w:asciiTheme="majorHAnsi" w:eastAsiaTheme="majorEastAsia" w:hAnsiTheme="majorHAnsi" w:cstheme="majorBidi"/>
                <w:b/>
                <w:noProof/>
                <w:lang w:val="en-US"/>
              </w:rPr>
              <w:t>B – PIARCS’ legal and official documents available upon request</w:t>
            </w:r>
            <w:r w:rsidR="00BD6FC5">
              <w:rPr>
                <w:noProof/>
                <w:webHidden/>
              </w:rPr>
              <w:tab/>
            </w:r>
            <w:r w:rsidR="00BD6FC5">
              <w:rPr>
                <w:noProof/>
                <w:webHidden/>
              </w:rPr>
              <w:fldChar w:fldCharType="begin"/>
            </w:r>
            <w:r w:rsidR="00BD6FC5">
              <w:rPr>
                <w:noProof/>
                <w:webHidden/>
              </w:rPr>
              <w:instrText xml:space="preserve"> PAGEREF _Toc403474348 \h </w:instrText>
            </w:r>
            <w:r w:rsidR="00BD6FC5">
              <w:rPr>
                <w:noProof/>
                <w:webHidden/>
              </w:rPr>
            </w:r>
            <w:r w:rsidR="00BD6FC5">
              <w:rPr>
                <w:noProof/>
                <w:webHidden/>
              </w:rPr>
              <w:fldChar w:fldCharType="separate"/>
            </w:r>
            <w:r w:rsidR="00BD6FC5">
              <w:rPr>
                <w:noProof/>
                <w:webHidden/>
              </w:rPr>
              <w:t>31</w:t>
            </w:r>
            <w:r w:rsidR="00BD6FC5">
              <w:rPr>
                <w:noProof/>
                <w:webHidden/>
              </w:rPr>
              <w:fldChar w:fldCharType="end"/>
            </w:r>
          </w:hyperlink>
        </w:p>
        <w:p w:rsidR="00BD6FC5" w:rsidRDefault="00275EE0">
          <w:pPr>
            <w:pStyle w:val="TOC2"/>
            <w:tabs>
              <w:tab w:val="right" w:leader="dot" w:pos="9350"/>
            </w:tabs>
            <w:rPr>
              <w:rFonts w:eastAsiaTheme="minorEastAsia"/>
              <w:noProof/>
              <w:lang w:val="en-US"/>
            </w:rPr>
          </w:pPr>
          <w:hyperlink w:anchor="_Toc403474349" w:history="1">
            <w:r w:rsidR="00BD6FC5" w:rsidRPr="00862898">
              <w:rPr>
                <w:rStyle w:val="Hyperlink"/>
                <w:rFonts w:asciiTheme="majorHAnsi" w:eastAsiaTheme="majorEastAsia" w:hAnsiTheme="majorHAnsi" w:cstheme="majorBidi"/>
                <w:b/>
                <w:noProof/>
                <w:lang w:val="en-US"/>
              </w:rPr>
              <w:t>C – Guidelines to implement dividend projections</w:t>
            </w:r>
            <w:r w:rsidR="00BD6FC5">
              <w:rPr>
                <w:noProof/>
                <w:webHidden/>
              </w:rPr>
              <w:tab/>
            </w:r>
            <w:r w:rsidR="00BD6FC5">
              <w:rPr>
                <w:noProof/>
                <w:webHidden/>
              </w:rPr>
              <w:fldChar w:fldCharType="begin"/>
            </w:r>
            <w:r w:rsidR="00BD6FC5">
              <w:rPr>
                <w:noProof/>
                <w:webHidden/>
              </w:rPr>
              <w:instrText xml:space="preserve"> PAGEREF _Toc403474349 \h </w:instrText>
            </w:r>
            <w:r w:rsidR="00BD6FC5">
              <w:rPr>
                <w:noProof/>
                <w:webHidden/>
              </w:rPr>
            </w:r>
            <w:r w:rsidR="00BD6FC5">
              <w:rPr>
                <w:noProof/>
                <w:webHidden/>
              </w:rPr>
              <w:fldChar w:fldCharType="separate"/>
            </w:r>
            <w:r w:rsidR="00BD6FC5">
              <w:rPr>
                <w:noProof/>
                <w:webHidden/>
              </w:rPr>
              <w:t>32</w:t>
            </w:r>
            <w:r w:rsidR="00BD6FC5">
              <w:rPr>
                <w:noProof/>
                <w:webHidden/>
              </w:rPr>
              <w:fldChar w:fldCharType="end"/>
            </w:r>
          </w:hyperlink>
        </w:p>
        <w:p w:rsidR="00BD6FC5" w:rsidRDefault="00275EE0">
          <w:pPr>
            <w:pStyle w:val="TOC2"/>
            <w:tabs>
              <w:tab w:val="right" w:leader="dot" w:pos="9350"/>
            </w:tabs>
            <w:rPr>
              <w:rFonts w:eastAsiaTheme="minorEastAsia"/>
              <w:noProof/>
              <w:lang w:val="en-US"/>
            </w:rPr>
          </w:pPr>
          <w:hyperlink w:anchor="_Toc403474350" w:history="1">
            <w:r w:rsidR="00BD6FC5" w:rsidRPr="00862898">
              <w:rPr>
                <w:rStyle w:val="Hyperlink"/>
                <w:rFonts w:asciiTheme="majorHAnsi" w:eastAsiaTheme="majorEastAsia" w:hAnsiTheme="majorHAnsi" w:cstheme="majorBidi"/>
                <w:b/>
                <w:noProof/>
                <w:lang w:val="en-US"/>
              </w:rPr>
              <w:t>D – TERM SHEET (modified September 23</w:t>
            </w:r>
            <w:r w:rsidR="00BD6FC5" w:rsidRPr="00862898">
              <w:rPr>
                <w:rStyle w:val="Hyperlink"/>
                <w:rFonts w:asciiTheme="majorHAnsi" w:eastAsiaTheme="majorEastAsia" w:hAnsiTheme="majorHAnsi" w:cstheme="majorBidi"/>
                <w:b/>
                <w:noProof/>
                <w:vertAlign w:val="superscript"/>
                <w:lang w:val="en-US"/>
              </w:rPr>
              <w:t>rd</w:t>
            </w:r>
            <w:r w:rsidR="00BD6FC5" w:rsidRPr="00862898">
              <w:rPr>
                <w:rStyle w:val="Hyperlink"/>
                <w:rFonts w:asciiTheme="majorHAnsi" w:eastAsiaTheme="majorEastAsia" w:hAnsiTheme="majorHAnsi" w:cstheme="majorBidi"/>
                <w:b/>
                <w:noProof/>
                <w:lang w:val="en-US"/>
              </w:rPr>
              <w:t xml:space="preserve"> 2014)</w:t>
            </w:r>
            <w:r w:rsidR="00BD6FC5">
              <w:rPr>
                <w:noProof/>
                <w:webHidden/>
              </w:rPr>
              <w:tab/>
            </w:r>
            <w:r w:rsidR="00BD6FC5">
              <w:rPr>
                <w:noProof/>
                <w:webHidden/>
              </w:rPr>
              <w:fldChar w:fldCharType="begin"/>
            </w:r>
            <w:r w:rsidR="00BD6FC5">
              <w:rPr>
                <w:noProof/>
                <w:webHidden/>
              </w:rPr>
              <w:instrText xml:space="preserve"> PAGEREF _Toc403474350 \h </w:instrText>
            </w:r>
            <w:r w:rsidR="00BD6FC5">
              <w:rPr>
                <w:noProof/>
                <w:webHidden/>
              </w:rPr>
            </w:r>
            <w:r w:rsidR="00BD6FC5">
              <w:rPr>
                <w:noProof/>
                <w:webHidden/>
              </w:rPr>
              <w:fldChar w:fldCharType="separate"/>
            </w:r>
            <w:r w:rsidR="00BD6FC5">
              <w:rPr>
                <w:noProof/>
                <w:webHidden/>
              </w:rPr>
              <w:t>34</w:t>
            </w:r>
            <w:r w:rsidR="00BD6FC5">
              <w:rPr>
                <w:noProof/>
                <w:webHidden/>
              </w:rPr>
              <w:fldChar w:fldCharType="end"/>
            </w:r>
          </w:hyperlink>
        </w:p>
        <w:p w:rsidR="00F23DAC" w:rsidRDefault="00F23DAC">
          <w:r w:rsidRPr="00FE5480">
            <w:rPr>
              <w:rFonts w:asciiTheme="majorHAnsi" w:hAnsiTheme="majorHAnsi"/>
              <w:b/>
              <w:bCs/>
              <w:noProof/>
            </w:rPr>
            <w:fldChar w:fldCharType="end"/>
          </w:r>
        </w:p>
      </w:sdtContent>
    </w:sdt>
    <w:p w:rsidR="004C2568" w:rsidRDefault="004C2568" w:rsidP="004C2568">
      <w:pPr>
        <w:ind w:firstLine="720"/>
        <w:rPr>
          <w:rFonts w:ascii="Garamond" w:hAnsi="Garamond" w:cs="Leelawadee"/>
          <w:sz w:val="26"/>
          <w:szCs w:val="26"/>
          <w:lang w:val="en-US"/>
        </w:rPr>
        <w:sectPr w:rsidR="004C2568" w:rsidSect="004C2568">
          <w:headerReference w:type="default" r:id="rId14"/>
          <w:footerReference w:type="default" r:id="rId15"/>
          <w:pgSz w:w="12240" w:h="15840"/>
          <w:pgMar w:top="1440" w:right="1440" w:bottom="1440" w:left="1440" w:header="720" w:footer="720" w:gutter="0"/>
          <w:pgNumType w:start="0"/>
          <w:cols w:space="720"/>
          <w:titlePg/>
          <w:docGrid w:linePitch="360"/>
        </w:sectPr>
      </w:pPr>
    </w:p>
    <w:p w:rsidR="00532CEA" w:rsidRPr="00532CEA" w:rsidRDefault="00532CEA" w:rsidP="00532CEA">
      <w:pPr>
        <w:tabs>
          <w:tab w:val="left" w:pos="4860"/>
          <w:tab w:val="left" w:pos="7020"/>
          <w:tab w:val="right" w:pos="9180"/>
        </w:tabs>
        <w:spacing w:after="0"/>
        <w:rPr>
          <w:rFonts w:ascii="Garamond" w:eastAsia="Calibri" w:hAnsi="Garamond" w:cs="Leelawadee"/>
          <w:sz w:val="26"/>
          <w:szCs w:val="26"/>
          <w:lang w:val="en-US"/>
        </w:rPr>
      </w:pPr>
      <w:r w:rsidRPr="00532CEA">
        <w:rPr>
          <w:rFonts w:ascii="Garamond" w:eastAsia="Calibri" w:hAnsi="Garamond" w:cs="Leelawadee"/>
          <w:sz w:val="26"/>
          <w:szCs w:val="26"/>
          <w:lang w:val="en-US"/>
        </w:rPr>
        <w:lastRenderedPageBreak/>
        <w:t>Delaware Corporation founded in March, 2014</w:t>
      </w:r>
    </w:p>
    <w:p w:rsidR="00532CEA" w:rsidRPr="00532CEA" w:rsidRDefault="00532CEA" w:rsidP="00532CEA">
      <w:pPr>
        <w:tabs>
          <w:tab w:val="left" w:pos="4860"/>
          <w:tab w:val="left" w:pos="7020"/>
          <w:tab w:val="right" w:pos="9180"/>
        </w:tabs>
        <w:spacing w:after="0"/>
        <w:ind w:left="360"/>
        <w:rPr>
          <w:rFonts w:ascii="Garamond" w:eastAsia="Calibri" w:hAnsi="Garamond" w:cs="Leelawadee"/>
          <w:sz w:val="26"/>
          <w:szCs w:val="26"/>
          <w:lang w:val="en-US"/>
        </w:rPr>
      </w:pPr>
      <w:r w:rsidRPr="00532CEA">
        <w:rPr>
          <w:rFonts w:ascii="Garamond" w:eastAsia="Calibri" w:hAnsi="Garamond" w:cs="Leelawadee"/>
          <w:sz w:val="26"/>
          <w:szCs w:val="26"/>
          <w:lang w:val="en-US"/>
        </w:rPr>
        <w:t>R&amp;D in Algal biomass/biofuel &amp; Water management</w:t>
      </w:r>
    </w:p>
    <w:p w:rsidR="00532CEA" w:rsidRPr="00532CEA" w:rsidRDefault="00532CEA" w:rsidP="00532CEA">
      <w:pPr>
        <w:tabs>
          <w:tab w:val="left" w:pos="4860"/>
          <w:tab w:val="left" w:pos="7020"/>
          <w:tab w:val="right" w:pos="9180"/>
        </w:tabs>
        <w:spacing w:after="0"/>
        <w:ind w:left="360"/>
        <w:rPr>
          <w:rFonts w:ascii="Garamond" w:eastAsia="Calibri" w:hAnsi="Garamond" w:cs="Leelawadee"/>
          <w:sz w:val="26"/>
          <w:szCs w:val="26"/>
          <w:lang w:val="en-US"/>
        </w:rPr>
      </w:pPr>
      <w:r w:rsidRPr="00532CEA">
        <w:rPr>
          <w:rFonts w:ascii="Garamond" w:eastAsia="Calibri" w:hAnsi="Garamond" w:cs="Leelawadee"/>
          <w:sz w:val="26"/>
          <w:szCs w:val="26"/>
          <w:lang w:val="en-US"/>
        </w:rPr>
        <w:t>Investment sought: seed funding of $500,000 for 6-9 months R&amp;D</w:t>
      </w:r>
    </w:p>
    <w:p w:rsidR="00532CEA" w:rsidRPr="00532CEA" w:rsidRDefault="00532CEA" w:rsidP="00532CEA">
      <w:pPr>
        <w:tabs>
          <w:tab w:val="left" w:pos="5940"/>
          <w:tab w:val="left" w:pos="7020"/>
          <w:tab w:val="right" w:pos="9180"/>
        </w:tabs>
        <w:spacing w:after="0"/>
        <w:ind w:left="360"/>
        <w:rPr>
          <w:rFonts w:ascii="Garamond" w:eastAsia="Calibri" w:hAnsi="Garamond" w:cs="Leelawadee"/>
          <w:sz w:val="26"/>
          <w:szCs w:val="26"/>
          <w:lang w:val="en-US"/>
        </w:rPr>
      </w:pPr>
      <w:r w:rsidRPr="00532CEA">
        <w:rPr>
          <w:rFonts w:ascii="Garamond" w:eastAsia="Calibri" w:hAnsi="Garamond" w:cs="Leelawadee"/>
          <w:sz w:val="26"/>
          <w:szCs w:val="26"/>
          <w:lang w:val="en-US"/>
        </w:rPr>
        <w:t>Year 1 operation: delivery of all critical R&amp;D milestones (Boulder, CO)</w:t>
      </w:r>
    </w:p>
    <w:p w:rsidR="00532CEA" w:rsidRPr="00532CEA" w:rsidRDefault="00532CEA" w:rsidP="00532CEA">
      <w:pPr>
        <w:tabs>
          <w:tab w:val="left" w:pos="5940"/>
          <w:tab w:val="left" w:pos="7020"/>
          <w:tab w:val="right" w:pos="9180"/>
        </w:tabs>
        <w:spacing w:after="0"/>
        <w:ind w:left="360"/>
        <w:rPr>
          <w:rFonts w:ascii="Garamond" w:eastAsia="Calibri" w:hAnsi="Garamond" w:cs="Leelawadee"/>
          <w:sz w:val="26"/>
          <w:szCs w:val="26"/>
          <w:lang w:val="en-US"/>
        </w:rPr>
      </w:pPr>
      <w:r w:rsidRPr="00532CEA">
        <w:rPr>
          <w:rFonts w:ascii="Garamond" w:eastAsia="Calibri" w:hAnsi="Garamond" w:cs="Leelawadee"/>
          <w:sz w:val="26"/>
          <w:szCs w:val="26"/>
          <w:lang w:val="en-US"/>
        </w:rPr>
        <w:t xml:space="preserve">Equity funding campaign: </w:t>
      </w:r>
      <w:hyperlink r:id="rId16" w:history="1">
        <w:r w:rsidRPr="00532CEA">
          <w:rPr>
            <w:rFonts w:ascii="Garamond" w:eastAsia="Calibri" w:hAnsi="Garamond" w:cs="Leelawadee"/>
            <w:color w:val="6B9F25" w:themeColor="hyperlink"/>
            <w:sz w:val="26"/>
            <w:szCs w:val="26"/>
            <w:u w:val="single"/>
            <w:lang w:val="en-US"/>
          </w:rPr>
          <w:t>https://www.returnonchange.com/piarcspbc</w:t>
        </w:r>
      </w:hyperlink>
    </w:p>
    <w:p w:rsidR="00532CEA" w:rsidRPr="00532CEA" w:rsidRDefault="00532CEA" w:rsidP="00532CEA">
      <w:pPr>
        <w:tabs>
          <w:tab w:val="left" w:pos="5940"/>
          <w:tab w:val="left" w:pos="7020"/>
          <w:tab w:val="right" w:pos="9180"/>
        </w:tabs>
        <w:spacing w:after="0"/>
        <w:ind w:left="360"/>
        <w:rPr>
          <w:rFonts w:ascii="Garamond" w:eastAsia="Calibri" w:hAnsi="Garamond" w:cs="Leelawadee"/>
          <w:sz w:val="26"/>
          <w:szCs w:val="26"/>
          <w:lang w:val="en-US"/>
        </w:rPr>
      </w:pPr>
      <w:r w:rsidRPr="00532CEA">
        <w:rPr>
          <w:rFonts w:ascii="Garamond" w:eastAsia="Calibri" w:hAnsi="Garamond" w:cs="Leelawadee"/>
          <w:sz w:val="26"/>
          <w:szCs w:val="26"/>
          <w:lang w:val="en-US"/>
        </w:rPr>
        <w:t>Third party due-diligence by: Crowdcheck Reports (thomasofficer@crowdcheck.com)</w:t>
      </w:r>
    </w:p>
    <w:p w:rsidR="00532CEA" w:rsidRPr="00532CEA" w:rsidRDefault="00532CEA" w:rsidP="00532CEA">
      <w:pPr>
        <w:tabs>
          <w:tab w:val="left" w:pos="5940"/>
          <w:tab w:val="left" w:pos="7020"/>
          <w:tab w:val="right" w:pos="9180"/>
        </w:tabs>
        <w:spacing w:after="0"/>
        <w:rPr>
          <w:rFonts w:ascii="Garamond" w:eastAsia="Calibri" w:hAnsi="Garamond" w:cs="Leelawadee"/>
          <w:sz w:val="26"/>
          <w:szCs w:val="26"/>
          <w:lang w:val="en-US"/>
        </w:rPr>
      </w:pPr>
    </w:p>
    <w:p w:rsidR="00532CEA" w:rsidRPr="00532CEA" w:rsidRDefault="00532CEA" w:rsidP="00532CEA">
      <w:pPr>
        <w:spacing w:after="0"/>
        <w:ind w:left="360"/>
        <w:rPr>
          <w:rFonts w:ascii="Garamond" w:eastAsia="Calibri" w:hAnsi="Garamond" w:cs="Leelawadee"/>
          <w:noProof/>
          <w:sz w:val="16"/>
          <w:szCs w:val="16"/>
          <w:lang w:val="en-US"/>
        </w:rPr>
      </w:pPr>
      <w:r w:rsidRPr="00532CEA">
        <w:rPr>
          <w:rFonts w:ascii="Garamond" w:eastAsia="Calibri" w:hAnsi="Garamond" w:cs="Leelawadee"/>
          <w:b/>
          <w:color w:val="339966"/>
          <w:sz w:val="26"/>
          <w:szCs w:val="26"/>
          <w:lang w:val="en-US"/>
        </w:rPr>
        <w:t>PIARCS primarily conducts R&amp;D and generates revenue through broadly licensing its IP</w:t>
      </w:r>
      <w:r w:rsidRPr="00532CEA">
        <w:rPr>
          <w:rFonts w:ascii="Garamond" w:eastAsia="Calibri" w:hAnsi="Garamond" w:cs="Leelawadee"/>
          <w:color w:val="339966"/>
          <w:sz w:val="26"/>
          <w:szCs w:val="26"/>
          <w:lang w:val="en-US"/>
        </w:rPr>
        <w:t xml:space="preserve">. </w:t>
      </w:r>
    </w:p>
    <w:p w:rsidR="00532CEA" w:rsidRPr="00532CEA" w:rsidRDefault="00532CEA" w:rsidP="00532CEA">
      <w:pPr>
        <w:spacing w:after="0"/>
        <w:ind w:left="360"/>
        <w:rPr>
          <w:rFonts w:ascii="Garamond" w:eastAsia="Calibri" w:hAnsi="Garamond" w:cs="Leelawadee"/>
          <w:sz w:val="26"/>
          <w:szCs w:val="26"/>
          <w:lang w:val="en-US"/>
        </w:rPr>
      </w:pPr>
      <w:r w:rsidRPr="00532CEA">
        <w:rPr>
          <w:rFonts w:ascii="Garamond" w:eastAsia="Calibri" w:hAnsi="Garamond" w:cs="Leelawadee"/>
          <w:noProof/>
          <w:sz w:val="26"/>
          <w:szCs w:val="26"/>
          <w:lang w:val="en-US"/>
        </w:rPr>
        <w:drawing>
          <wp:inline distT="0" distB="0" distL="0" distR="0" wp14:anchorId="36568076" wp14:editId="2F8AFA8C">
            <wp:extent cx="5028867" cy="2868930"/>
            <wp:effectExtent l="0" t="0" r="635"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587"/>
                    <a:stretch/>
                  </pic:blipFill>
                  <pic:spPr bwMode="auto">
                    <a:xfrm>
                      <a:off x="0" y="0"/>
                      <a:ext cx="5029200" cy="2869120"/>
                    </a:xfrm>
                    <a:prstGeom prst="rect">
                      <a:avLst/>
                    </a:prstGeom>
                    <a:noFill/>
                    <a:ln>
                      <a:noFill/>
                    </a:ln>
                    <a:extLst>
                      <a:ext uri="{53640926-AAD7-44D8-BBD7-CCE9431645EC}">
                        <a14:shadowObscured xmlns:a14="http://schemas.microsoft.com/office/drawing/2010/main"/>
                      </a:ext>
                    </a:extLst>
                  </pic:spPr>
                </pic:pic>
              </a:graphicData>
            </a:graphic>
          </wp:inline>
        </w:drawing>
      </w:r>
    </w:p>
    <w:p w:rsidR="00532CEA" w:rsidRPr="00532CEA" w:rsidRDefault="00532CEA" w:rsidP="00532CEA">
      <w:pPr>
        <w:spacing w:after="0"/>
        <w:ind w:left="360"/>
        <w:rPr>
          <w:rFonts w:ascii="Garamond" w:eastAsia="Calibri" w:hAnsi="Garamond" w:cs="Leelawadee"/>
          <w:sz w:val="16"/>
          <w:szCs w:val="16"/>
          <w:lang w:val="en-US"/>
        </w:rPr>
      </w:pPr>
    </w:p>
    <w:p w:rsidR="00532CEA" w:rsidRPr="00532CEA" w:rsidRDefault="00532CEA" w:rsidP="00532CEA">
      <w:pPr>
        <w:tabs>
          <w:tab w:val="left" w:pos="9180"/>
        </w:tabs>
        <w:spacing w:after="0"/>
        <w:ind w:left="360" w:right="180"/>
        <w:rPr>
          <w:rFonts w:ascii="Garamond" w:eastAsia="Calibri" w:hAnsi="Garamond" w:cs="Leelawadee"/>
          <w:sz w:val="16"/>
          <w:szCs w:val="16"/>
          <w:lang w:val="en-US"/>
        </w:rPr>
      </w:pPr>
    </w:p>
    <w:p w:rsidR="00532CEA" w:rsidRPr="00532CEA" w:rsidRDefault="00532CEA" w:rsidP="00532CEA">
      <w:pPr>
        <w:tabs>
          <w:tab w:val="left" w:pos="9180"/>
        </w:tabs>
        <w:spacing w:after="60"/>
        <w:ind w:left="360" w:right="180"/>
        <w:contextualSpacing/>
        <w:rPr>
          <w:rFonts w:ascii="Garamond" w:eastAsia="Calibri" w:hAnsi="Garamond" w:cs="Leelawadee"/>
          <w:sz w:val="26"/>
          <w:szCs w:val="26"/>
          <w:lang w:val="en-US"/>
        </w:rPr>
      </w:pPr>
      <w:r w:rsidRPr="00532CEA">
        <w:rPr>
          <w:rFonts w:ascii="Garamond" w:eastAsia="Calibri" w:hAnsi="Garamond" w:cs="Leelawadee"/>
          <w:sz w:val="26"/>
          <w:szCs w:val="26"/>
          <w:lang w:val="en-US"/>
        </w:rPr>
        <w:t>Leveraging the founder’s proprietary IP, PIARCS’ R&amp;D in two unrelated areas aims to achieve the following revolutionary solutions:</w:t>
      </w:r>
    </w:p>
    <w:p w:rsidR="00532CEA" w:rsidRPr="00532CEA" w:rsidRDefault="00532CEA" w:rsidP="00532CEA">
      <w:pPr>
        <w:numPr>
          <w:ilvl w:val="0"/>
          <w:numId w:val="1"/>
        </w:numPr>
        <w:tabs>
          <w:tab w:val="left" w:pos="9180"/>
        </w:tabs>
        <w:spacing w:after="60"/>
        <w:ind w:right="180"/>
        <w:contextualSpacing/>
        <w:rPr>
          <w:rFonts w:ascii="Garamond" w:eastAsia="Calibri" w:hAnsi="Garamond" w:cs="Leelawadee"/>
          <w:sz w:val="26"/>
          <w:szCs w:val="26"/>
          <w:lang w:val="en-US"/>
        </w:rPr>
      </w:pPr>
      <w:r w:rsidRPr="00532CEA">
        <w:rPr>
          <w:rFonts w:ascii="Garamond" w:eastAsia="Calibri" w:hAnsi="Garamond" w:cs="Leelawadee"/>
          <w:b/>
          <w:sz w:val="26"/>
          <w:szCs w:val="26"/>
          <w:lang w:val="en-US"/>
        </w:rPr>
        <w:t>Novel algal bioreactor designs.  Targets algae-based biodiesel production prices under $92/barrel and an inexpensive biomass feedstock</w:t>
      </w:r>
      <w:r w:rsidRPr="00532CEA">
        <w:rPr>
          <w:rFonts w:ascii="Garamond" w:eastAsia="Calibri" w:hAnsi="Garamond" w:cs="Leelawadee"/>
          <w:sz w:val="26"/>
          <w:szCs w:val="26"/>
          <w:lang w:val="en-US"/>
        </w:rPr>
        <w:t>.  PIARCS’ Chemical Engineering approach aims to enable high algal efficiency, as opposed to current designs which select for high speed.  The resulting biomass production model allows for the continuous production of lipids (biofuel) as well as nutrients-free effluents.</w:t>
      </w:r>
    </w:p>
    <w:p w:rsidR="00532CEA" w:rsidRPr="00532CEA" w:rsidRDefault="00532CEA" w:rsidP="00532CEA">
      <w:pPr>
        <w:numPr>
          <w:ilvl w:val="0"/>
          <w:numId w:val="3"/>
        </w:numPr>
        <w:spacing w:after="60"/>
        <w:contextualSpacing/>
        <w:rPr>
          <w:rFonts w:ascii="Garamond" w:eastAsia="Calibri" w:hAnsi="Garamond" w:cs="Times New Roman"/>
          <w:sz w:val="24"/>
          <w:szCs w:val="24"/>
          <w:lang w:val="en-US"/>
        </w:rPr>
      </w:pPr>
      <w:r w:rsidRPr="00532CEA">
        <w:rPr>
          <w:rFonts w:ascii="Garamond" w:eastAsia="Calibri" w:hAnsi="Garamond" w:cs="Leelawadee"/>
          <w:b/>
          <w:sz w:val="26"/>
          <w:szCs w:val="26"/>
          <w:lang w:val="en-US"/>
        </w:rPr>
        <w:t xml:space="preserve">Novel bacterial phosphorus sequestration method.  Affords complete removal of phosphate from wastewater </w:t>
      </w:r>
      <w:r w:rsidRPr="00532CEA">
        <w:rPr>
          <w:rFonts w:ascii="Garamond" w:eastAsia="Calibri" w:hAnsi="Garamond" w:cs="Leelawadee"/>
          <w:b/>
          <w:sz w:val="26"/>
          <w:szCs w:val="26"/>
          <w:u w:val="single"/>
          <w:lang w:val="en-US"/>
        </w:rPr>
        <w:t>and</w:t>
      </w:r>
      <w:r w:rsidRPr="00532CEA">
        <w:rPr>
          <w:rFonts w:ascii="Garamond" w:eastAsia="Calibri" w:hAnsi="Garamond" w:cs="Leelawadee"/>
          <w:b/>
          <w:sz w:val="26"/>
          <w:szCs w:val="26"/>
          <w:lang w:val="en-US"/>
        </w:rPr>
        <w:t xml:space="preserve"> a source of renewable phosphorus fertilizer</w:t>
      </w:r>
      <w:r w:rsidRPr="00532CEA">
        <w:rPr>
          <w:rFonts w:ascii="Garamond" w:eastAsia="Calibri" w:hAnsi="Garamond" w:cs="Leelawadee"/>
          <w:sz w:val="26"/>
          <w:szCs w:val="26"/>
          <w:lang w:val="en-US"/>
        </w:rPr>
        <w:t>.  The dried biomass phosphorus (P) content (</w:t>
      </w:r>
      <w:r w:rsidRPr="00532CEA">
        <w:rPr>
          <w:rFonts w:ascii="Garamond" w:eastAsia="Calibri" w:hAnsi="Garamond" w:cs="Times New Roman"/>
          <w:sz w:val="26"/>
          <w:szCs w:val="26"/>
          <w:lang w:val="en-US"/>
        </w:rPr>
        <w:t xml:space="preserve">9-17%) compares with the 11-16% found in rock-phosphates, which currently provide a primary yet limited global fertilizer resource.  The final dissolved inorganic phosphate levels (&lt; 30 µg P/L) meet upcoming EPA standards, which are driving costly upgrades in wastewater treatment plants nationwide. </w:t>
      </w:r>
    </w:p>
    <w:p w:rsidR="00532CEA" w:rsidRPr="00532CEA" w:rsidRDefault="00532CEA" w:rsidP="00532CEA">
      <w:pPr>
        <w:numPr>
          <w:ilvl w:val="0"/>
          <w:numId w:val="1"/>
        </w:numPr>
        <w:tabs>
          <w:tab w:val="left" w:pos="9180"/>
        </w:tabs>
        <w:spacing w:after="60"/>
        <w:ind w:right="180"/>
        <w:contextualSpacing/>
        <w:rPr>
          <w:rFonts w:ascii="Garamond" w:eastAsia="Calibri" w:hAnsi="Garamond" w:cs="Leelawadee"/>
          <w:sz w:val="26"/>
          <w:szCs w:val="26"/>
          <w:lang w:val="en-US"/>
        </w:rPr>
      </w:pPr>
      <w:r w:rsidRPr="00532CEA">
        <w:rPr>
          <w:rFonts w:ascii="Garamond" w:eastAsia="Calibri" w:hAnsi="Garamond" w:cs="Leelawadee"/>
          <w:b/>
          <w:sz w:val="26"/>
          <w:szCs w:val="26"/>
          <w:lang w:val="en-US"/>
        </w:rPr>
        <w:t>Process integration of these technologies affords wastewater cleanup</w:t>
      </w:r>
      <w:r w:rsidRPr="00532CEA">
        <w:rPr>
          <w:rFonts w:ascii="Garamond" w:eastAsia="Calibri" w:hAnsi="Garamond" w:cs="Leelawadee"/>
          <w:sz w:val="26"/>
          <w:szCs w:val="26"/>
          <w:lang w:val="en-US"/>
        </w:rPr>
        <w:t>.</w:t>
      </w:r>
    </w:p>
    <w:p w:rsidR="00532CEA" w:rsidRPr="00532CEA" w:rsidRDefault="00532CEA" w:rsidP="00532CEA">
      <w:pPr>
        <w:spacing w:after="0"/>
        <w:jc w:val="center"/>
        <w:rPr>
          <w:rFonts w:ascii="Garamond" w:eastAsia="Calibri" w:hAnsi="Garamond" w:cs="Leelawadee"/>
          <w:sz w:val="26"/>
          <w:szCs w:val="26"/>
          <w:lang w:val="en-US"/>
        </w:rPr>
      </w:pPr>
      <w:r w:rsidRPr="00532CEA">
        <w:rPr>
          <w:rFonts w:ascii="Garamond" w:eastAsia="Calibri" w:hAnsi="Garamond" w:cs="Leelawadee"/>
          <w:noProof/>
          <w:sz w:val="26"/>
          <w:szCs w:val="26"/>
          <w:lang w:val="en-US"/>
        </w:rPr>
        <w:drawing>
          <wp:inline distT="0" distB="0" distL="0" distR="0" wp14:anchorId="01BA91DF" wp14:editId="6D7AD6A6">
            <wp:extent cx="5029200" cy="52325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523251"/>
                    </a:xfrm>
                    <a:prstGeom prst="rect">
                      <a:avLst/>
                    </a:prstGeom>
                    <a:noFill/>
                  </pic:spPr>
                </pic:pic>
              </a:graphicData>
            </a:graphic>
          </wp:inline>
        </w:drawing>
      </w:r>
    </w:p>
    <w:p w:rsidR="00532CEA" w:rsidRPr="00532CEA" w:rsidRDefault="00532CEA" w:rsidP="00532CEA">
      <w:pPr>
        <w:numPr>
          <w:ilvl w:val="0"/>
          <w:numId w:val="1"/>
        </w:numPr>
        <w:spacing w:after="0"/>
        <w:contextualSpacing/>
        <w:rPr>
          <w:rFonts w:ascii="Garamond" w:eastAsia="Calibri" w:hAnsi="Garamond" w:cs="Leelawadee"/>
          <w:b/>
          <w:sz w:val="26"/>
          <w:szCs w:val="26"/>
          <w:lang w:val="en-US"/>
        </w:rPr>
      </w:pPr>
      <w:r w:rsidRPr="00532CEA">
        <w:rPr>
          <w:rFonts w:ascii="Garamond" w:eastAsia="Calibri" w:hAnsi="Garamond" w:cs="Leelawadee"/>
          <w:b/>
          <w:sz w:val="26"/>
          <w:szCs w:val="26"/>
          <w:lang w:val="en-US"/>
        </w:rPr>
        <w:t xml:space="preserve">Limited competition </w:t>
      </w:r>
    </w:p>
    <w:p w:rsidR="00532CEA" w:rsidRPr="00532CEA" w:rsidRDefault="00532CEA" w:rsidP="00532CEA">
      <w:pPr>
        <w:spacing w:after="0"/>
        <w:ind w:left="720"/>
        <w:contextualSpacing/>
        <w:rPr>
          <w:rFonts w:ascii="Garamond" w:eastAsia="Calibri" w:hAnsi="Garamond" w:cs="Leelawadee"/>
          <w:sz w:val="26"/>
          <w:szCs w:val="26"/>
          <w:lang w:val="en-US"/>
        </w:rPr>
      </w:pPr>
      <w:r w:rsidRPr="00532CEA">
        <w:rPr>
          <w:rFonts w:ascii="Garamond" w:eastAsia="Calibri" w:hAnsi="Garamond" w:cs="Leelawadee"/>
          <w:sz w:val="26"/>
          <w:szCs w:val="26"/>
          <w:lang w:val="en-US"/>
        </w:rPr>
        <w:t>The 2005-2008 Algal Biomass hype has largely failed to deliver scalable solutions to supply transportation fuel.</w:t>
      </w:r>
    </w:p>
    <w:p w:rsidR="00532CEA" w:rsidRPr="00532CEA" w:rsidRDefault="00532CEA" w:rsidP="00532CEA">
      <w:pPr>
        <w:numPr>
          <w:ilvl w:val="0"/>
          <w:numId w:val="1"/>
        </w:numPr>
        <w:spacing w:after="0"/>
        <w:contextualSpacing/>
        <w:rPr>
          <w:rFonts w:ascii="Garamond" w:eastAsia="Calibri" w:hAnsi="Garamond" w:cs="Leelawadee"/>
          <w:b/>
          <w:sz w:val="26"/>
          <w:szCs w:val="26"/>
          <w:lang w:val="en-US"/>
        </w:rPr>
      </w:pPr>
      <w:r w:rsidRPr="00532CEA">
        <w:rPr>
          <w:rFonts w:ascii="Garamond" w:eastAsia="Calibri" w:hAnsi="Garamond" w:cs="Leelawadee"/>
          <w:b/>
          <w:sz w:val="26"/>
          <w:szCs w:val="26"/>
          <w:lang w:val="en-US"/>
        </w:rPr>
        <w:t>Mature IP</w:t>
      </w:r>
    </w:p>
    <w:p w:rsidR="00532CEA" w:rsidRPr="00532CEA" w:rsidRDefault="00532CEA" w:rsidP="00532CEA">
      <w:pPr>
        <w:spacing w:after="0"/>
        <w:ind w:left="720"/>
        <w:contextualSpacing/>
        <w:rPr>
          <w:rFonts w:ascii="Garamond" w:eastAsia="Calibri" w:hAnsi="Garamond" w:cs="Leelawadee"/>
          <w:sz w:val="26"/>
          <w:szCs w:val="26"/>
          <w:lang w:val="en-US"/>
        </w:rPr>
      </w:pPr>
      <w:r w:rsidRPr="00532CEA">
        <w:rPr>
          <w:rFonts w:ascii="Garamond" w:eastAsia="Calibri" w:hAnsi="Garamond" w:cs="Leelawadee"/>
          <w:b/>
          <w:sz w:val="26"/>
          <w:szCs w:val="26"/>
          <w:lang w:val="en-US"/>
        </w:rPr>
        <w:t>PCT application submitted Oct. 14</w:t>
      </w:r>
      <w:r w:rsidRPr="00532CEA">
        <w:rPr>
          <w:rFonts w:ascii="Garamond" w:eastAsia="Calibri" w:hAnsi="Garamond" w:cs="Leelawadee"/>
          <w:b/>
          <w:sz w:val="26"/>
          <w:szCs w:val="26"/>
          <w:vertAlign w:val="superscript"/>
          <w:lang w:val="en-US"/>
        </w:rPr>
        <w:t>th</w:t>
      </w:r>
      <w:r w:rsidRPr="00532CEA">
        <w:rPr>
          <w:rFonts w:ascii="Garamond" w:eastAsia="Calibri" w:hAnsi="Garamond" w:cs="Leelawadee"/>
          <w:b/>
          <w:sz w:val="26"/>
          <w:szCs w:val="26"/>
          <w:lang w:val="en-US"/>
        </w:rPr>
        <w:t xml:space="preserve"> 2014 (Marsh Fischman Breyfogle LLP)</w:t>
      </w:r>
      <w:r w:rsidRPr="00532CEA">
        <w:rPr>
          <w:rFonts w:ascii="Garamond" w:eastAsia="Calibri" w:hAnsi="Garamond" w:cs="Leelawadee"/>
          <w:sz w:val="26"/>
          <w:szCs w:val="26"/>
          <w:lang w:val="en-US"/>
        </w:rPr>
        <w:t>,</w:t>
      </w:r>
      <w:r w:rsidRPr="00532CEA">
        <w:rPr>
          <w:rFonts w:ascii="Garamond" w:eastAsia="Calibri" w:hAnsi="Garamond" w:cs="Leelawadee"/>
          <w:b/>
          <w:sz w:val="26"/>
          <w:szCs w:val="26"/>
          <w:lang w:val="en-US"/>
        </w:rPr>
        <w:t xml:space="preserve"> </w:t>
      </w:r>
      <w:r w:rsidRPr="00532CEA">
        <w:rPr>
          <w:rFonts w:ascii="Garamond" w:eastAsia="Calibri" w:hAnsi="Garamond" w:cs="Leelawadee"/>
          <w:sz w:val="26"/>
          <w:szCs w:val="26"/>
          <w:lang w:val="en-US"/>
        </w:rPr>
        <w:t>based on founder’s independent work and three peer-reviewed publications.</w:t>
      </w:r>
    </w:p>
    <w:p w:rsidR="00532CEA" w:rsidRPr="00532CEA" w:rsidRDefault="00532CEA" w:rsidP="00532CEA">
      <w:pPr>
        <w:numPr>
          <w:ilvl w:val="0"/>
          <w:numId w:val="1"/>
        </w:numPr>
        <w:spacing w:after="0"/>
        <w:contextualSpacing/>
        <w:rPr>
          <w:rFonts w:ascii="Garamond" w:eastAsia="Calibri" w:hAnsi="Garamond" w:cs="Leelawadee"/>
          <w:b/>
          <w:sz w:val="26"/>
          <w:szCs w:val="26"/>
          <w:lang w:val="en-US"/>
        </w:rPr>
      </w:pPr>
      <w:r w:rsidRPr="00532CEA">
        <w:rPr>
          <w:rFonts w:ascii="Garamond" w:eastAsia="Calibri" w:hAnsi="Garamond" w:cs="Leelawadee"/>
          <w:b/>
          <w:sz w:val="26"/>
          <w:szCs w:val="26"/>
          <w:lang w:val="en-US"/>
        </w:rPr>
        <w:t>Unimpeded IP</w:t>
      </w:r>
    </w:p>
    <w:p w:rsidR="00532CEA" w:rsidRPr="00532CEA" w:rsidRDefault="00532CEA" w:rsidP="00532CEA">
      <w:pPr>
        <w:spacing w:after="0"/>
        <w:ind w:left="720"/>
        <w:contextualSpacing/>
        <w:rPr>
          <w:rFonts w:ascii="Garamond" w:eastAsia="Calibri" w:hAnsi="Garamond" w:cs="Times New Roman"/>
          <w:sz w:val="26"/>
          <w:szCs w:val="26"/>
          <w:lang w:val="en-US"/>
        </w:rPr>
      </w:pPr>
      <w:r w:rsidRPr="00532CEA">
        <w:rPr>
          <w:rFonts w:ascii="Garamond" w:eastAsia="Calibri" w:hAnsi="Garamond" w:cs="Times New Roman"/>
          <w:sz w:val="26"/>
          <w:szCs w:val="26"/>
          <w:lang w:val="en-US"/>
        </w:rPr>
        <w:t>Distinct approaches to algal lipid production and biomass productivity maximization.</w:t>
      </w:r>
    </w:p>
    <w:p w:rsidR="00532CEA" w:rsidRPr="00532CEA" w:rsidRDefault="00532CEA" w:rsidP="00532CEA">
      <w:pPr>
        <w:spacing w:after="0"/>
        <w:ind w:left="720"/>
        <w:contextualSpacing/>
        <w:rPr>
          <w:rFonts w:ascii="Garamond" w:eastAsia="Calibri" w:hAnsi="Garamond" w:cs="Times New Roman"/>
          <w:sz w:val="26"/>
          <w:szCs w:val="26"/>
          <w:lang w:val="en-US"/>
        </w:rPr>
      </w:pPr>
    </w:p>
    <w:p w:rsidR="00532CEA" w:rsidRPr="00532CEA" w:rsidRDefault="00532CEA" w:rsidP="00532CEA">
      <w:pPr>
        <w:spacing w:after="0"/>
        <w:jc w:val="center"/>
        <w:rPr>
          <w:rFonts w:ascii="Garamond" w:eastAsia="Calibri" w:hAnsi="Garamond" w:cs="Leelawadee"/>
          <w:sz w:val="26"/>
          <w:szCs w:val="26"/>
          <w:lang w:val="en-US"/>
        </w:rPr>
      </w:pPr>
      <w:r w:rsidRPr="00532CEA">
        <w:rPr>
          <w:rFonts w:ascii="Garamond" w:eastAsia="Calibri" w:hAnsi="Garamond" w:cs="Leelawadee"/>
          <w:noProof/>
          <w:sz w:val="26"/>
          <w:szCs w:val="26"/>
          <w:lang w:val="en-US"/>
        </w:rPr>
        <w:drawing>
          <wp:inline distT="0" distB="0" distL="0" distR="0" wp14:anchorId="1C8998D1" wp14:editId="65B853BA">
            <wp:extent cx="5029200" cy="52607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526075"/>
                    </a:xfrm>
                    <a:prstGeom prst="rect">
                      <a:avLst/>
                    </a:prstGeom>
                    <a:noFill/>
                  </pic:spPr>
                </pic:pic>
              </a:graphicData>
            </a:graphic>
          </wp:inline>
        </w:drawing>
      </w:r>
    </w:p>
    <w:p w:rsidR="00532CEA" w:rsidRPr="00532CEA" w:rsidRDefault="00532CEA" w:rsidP="00532CEA">
      <w:pPr>
        <w:numPr>
          <w:ilvl w:val="0"/>
          <w:numId w:val="1"/>
        </w:numPr>
        <w:spacing w:after="0"/>
        <w:contextualSpacing/>
        <w:rPr>
          <w:rFonts w:ascii="Garamond" w:eastAsia="Calibri" w:hAnsi="Garamond" w:cs="Leelawadee"/>
          <w:b/>
          <w:sz w:val="26"/>
          <w:szCs w:val="26"/>
          <w:lang w:val="en-US"/>
        </w:rPr>
      </w:pPr>
      <w:r w:rsidRPr="00532CEA">
        <w:rPr>
          <w:rFonts w:ascii="Garamond" w:eastAsia="Calibri" w:hAnsi="Garamond" w:cs="Leelawadee"/>
          <w:b/>
          <w:sz w:val="26"/>
          <w:szCs w:val="26"/>
          <w:lang w:val="en-US"/>
        </w:rPr>
        <w:t xml:space="preserve">Limited competition </w:t>
      </w:r>
    </w:p>
    <w:p w:rsidR="00532CEA" w:rsidRPr="00532CEA" w:rsidRDefault="00532CEA" w:rsidP="00532CEA">
      <w:pPr>
        <w:spacing w:after="60"/>
        <w:ind w:left="720"/>
        <w:contextualSpacing/>
        <w:rPr>
          <w:rFonts w:ascii="Garamond" w:eastAsia="Calibri" w:hAnsi="Garamond" w:cs="Leelawadee"/>
          <w:sz w:val="26"/>
          <w:szCs w:val="26"/>
          <w:lang w:val="en-US"/>
        </w:rPr>
      </w:pPr>
      <w:r w:rsidRPr="00532CEA">
        <w:rPr>
          <w:rFonts w:ascii="Garamond" w:eastAsia="Calibri" w:hAnsi="Garamond" w:cs="Leelawadee"/>
          <w:sz w:val="26"/>
          <w:szCs w:val="26"/>
          <w:lang w:val="en-US"/>
        </w:rPr>
        <w:t>Current wastewater upgrade plans aim to implement the competing Ostara Pearl (2012) and Siemens Water Tech. CoMag</w:t>
      </w:r>
      <w:r w:rsidRPr="00532CEA">
        <w:rPr>
          <w:rFonts w:ascii="Garamond" w:eastAsia="Calibri" w:hAnsi="Garamond" w:cs="Leelawadee"/>
          <w:sz w:val="26"/>
          <w:szCs w:val="26"/>
          <w:vertAlign w:val="superscript"/>
          <w:lang w:val="en-US"/>
        </w:rPr>
        <w:t>TM</w:t>
      </w:r>
      <w:r w:rsidRPr="00532CEA">
        <w:rPr>
          <w:rFonts w:ascii="Garamond" w:eastAsia="Calibri" w:hAnsi="Garamond" w:cs="Leelawadee"/>
          <w:sz w:val="26"/>
          <w:szCs w:val="26"/>
          <w:lang w:val="en-US"/>
        </w:rPr>
        <w:t xml:space="preserve"> (2013) systems to meet upcoming EPA phosphorus standards.  In addition to higher performance, PIARCS’ technology is on the order of 1/10</w:t>
      </w:r>
      <w:r w:rsidRPr="00532CEA">
        <w:rPr>
          <w:rFonts w:ascii="Garamond" w:eastAsia="Calibri" w:hAnsi="Garamond" w:cs="Leelawadee"/>
          <w:sz w:val="26"/>
          <w:szCs w:val="26"/>
          <w:vertAlign w:val="superscript"/>
          <w:lang w:val="en-US"/>
        </w:rPr>
        <w:t>th</w:t>
      </w:r>
      <w:r w:rsidRPr="00532CEA">
        <w:rPr>
          <w:rFonts w:ascii="Garamond" w:eastAsia="Calibri" w:hAnsi="Garamond" w:cs="Leelawadee"/>
          <w:sz w:val="26"/>
          <w:szCs w:val="26"/>
          <w:lang w:val="en-US"/>
        </w:rPr>
        <w:t xml:space="preserve"> the cost to implement.</w:t>
      </w:r>
    </w:p>
    <w:p w:rsidR="00532CEA" w:rsidRPr="00532CEA" w:rsidRDefault="00532CEA" w:rsidP="00532CEA">
      <w:pPr>
        <w:numPr>
          <w:ilvl w:val="0"/>
          <w:numId w:val="1"/>
        </w:numPr>
        <w:spacing w:after="60"/>
        <w:contextualSpacing/>
        <w:rPr>
          <w:rFonts w:ascii="Garamond" w:eastAsia="Calibri" w:hAnsi="Garamond" w:cs="Leelawadee"/>
          <w:b/>
          <w:sz w:val="26"/>
          <w:szCs w:val="26"/>
          <w:lang w:val="en-US"/>
        </w:rPr>
      </w:pPr>
      <w:r w:rsidRPr="00532CEA">
        <w:rPr>
          <w:rFonts w:ascii="Garamond" w:eastAsia="Calibri" w:hAnsi="Garamond" w:cs="Leelawadee"/>
          <w:b/>
          <w:sz w:val="26"/>
          <w:szCs w:val="26"/>
          <w:lang w:val="en-US"/>
        </w:rPr>
        <w:t xml:space="preserve">Mature IP </w:t>
      </w:r>
    </w:p>
    <w:p w:rsidR="00532CEA" w:rsidRPr="00532CEA" w:rsidRDefault="00532CEA" w:rsidP="00532CEA">
      <w:pPr>
        <w:spacing w:after="60"/>
        <w:ind w:left="720"/>
        <w:contextualSpacing/>
        <w:rPr>
          <w:rFonts w:ascii="Garamond" w:eastAsia="Calibri" w:hAnsi="Garamond" w:cs="Leelawadee"/>
          <w:sz w:val="26"/>
          <w:szCs w:val="26"/>
          <w:lang w:val="en-US"/>
        </w:rPr>
      </w:pPr>
      <w:r w:rsidRPr="00532CEA">
        <w:rPr>
          <w:rFonts w:ascii="Garamond" w:eastAsia="Calibri" w:hAnsi="Garamond" w:cs="Leelawadee"/>
          <w:b/>
          <w:sz w:val="26"/>
          <w:szCs w:val="26"/>
          <w:lang w:val="en-US"/>
        </w:rPr>
        <w:t>Provisional Patent application filed April 7</w:t>
      </w:r>
      <w:r w:rsidRPr="00532CEA">
        <w:rPr>
          <w:rFonts w:ascii="Garamond" w:eastAsia="Calibri" w:hAnsi="Garamond" w:cs="Leelawadee"/>
          <w:b/>
          <w:sz w:val="26"/>
          <w:szCs w:val="26"/>
          <w:vertAlign w:val="superscript"/>
          <w:lang w:val="en-US"/>
        </w:rPr>
        <w:t>th</w:t>
      </w:r>
      <w:r w:rsidRPr="00532CEA">
        <w:rPr>
          <w:rFonts w:ascii="Garamond" w:eastAsia="Calibri" w:hAnsi="Garamond" w:cs="Leelawadee"/>
          <w:b/>
          <w:sz w:val="26"/>
          <w:szCs w:val="26"/>
          <w:lang w:val="en-US"/>
        </w:rPr>
        <w:t xml:space="preserve"> 2014 (Klarquist Sparkman, LLP)</w:t>
      </w:r>
      <w:r w:rsidRPr="00532CEA">
        <w:rPr>
          <w:rFonts w:ascii="Garamond" w:eastAsia="Calibri" w:hAnsi="Garamond" w:cs="Leelawadee"/>
          <w:sz w:val="26"/>
          <w:szCs w:val="26"/>
          <w:lang w:val="en-US"/>
        </w:rPr>
        <w:t>, based on founder’s independent and unpublished work.</w:t>
      </w:r>
    </w:p>
    <w:p w:rsidR="00532CEA" w:rsidRPr="00532CEA" w:rsidRDefault="00532CEA" w:rsidP="00532CEA">
      <w:pPr>
        <w:numPr>
          <w:ilvl w:val="0"/>
          <w:numId w:val="1"/>
        </w:numPr>
        <w:spacing w:after="0"/>
        <w:contextualSpacing/>
        <w:rPr>
          <w:rFonts w:ascii="Garamond" w:eastAsia="Calibri" w:hAnsi="Garamond" w:cs="Leelawadee"/>
          <w:b/>
          <w:sz w:val="26"/>
          <w:szCs w:val="26"/>
          <w:lang w:val="en-US"/>
        </w:rPr>
      </w:pPr>
      <w:r w:rsidRPr="00532CEA">
        <w:rPr>
          <w:rFonts w:ascii="Garamond" w:eastAsia="Calibri" w:hAnsi="Garamond" w:cs="Leelawadee"/>
          <w:b/>
          <w:sz w:val="26"/>
          <w:szCs w:val="26"/>
          <w:lang w:val="en-US"/>
        </w:rPr>
        <w:t>Unimpeded IP</w:t>
      </w:r>
    </w:p>
    <w:p w:rsidR="00532CEA" w:rsidRPr="00532CEA" w:rsidRDefault="00532CEA" w:rsidP="00532CEA">
      <w:pPr>
        <w:spacing w:after="0"/>
        <w:ind w:left="720"/>
        <w:contextualSpacing/>
        <w:rPr>
          <w:rFonts w:ascii="Garamond" w:eastAsia="Calibri" w:hAnsi="Garamond" w:cs="Times New Roman"/>
          <w:sz w:val="26"/>
          <w:szCs w:val="26"/>
          <w:lang w:val="en-US"/>
        </w:rPr>
      </w:pPr>
      <w:r w:rsidRPr="00532CEA">
        <w:rPr>
          <w:rFonts w:ascii="Garamond" w:eastAsia="Calibri" w:hAnsi="Garamond" w:cs="Times New Roman"/>
          <w:sz w:val="26"/>
          <w:szCs w:val="26"/>
          <w:lang w:val="en-US"/>
        </w:rPr>
        <w:t>Patented biological sequestration methods use unrelated approaches.</w:t>
      </w:r>
    </w:p>
    <w:p w:rsidR="00532CEA" w:rsidRPr="00532CEA" w:rsidRDefault="00532CEA" w:rsidP="00532CEA">
      <w:pPr>
        <w:spacing w:after="0"/>
        <w:ind w:left="720"/>
        <w:contextualSpacing/>
        <w:rPr>
          <w:rFonts w:ascii="Garamond" w:eastAsia="Calibri" w:hAnsi="Garamond" w:cs="Times New Roman"/>
          <w:sz w:val="26"/>
          <w:szCs w:val="26"/>
          <w:lang w:val="en-US"/>
        </w:rPr>
      </w:pPr>
    </w:p>
    <w:p w:rsidR="00532CEA" w:rsidRPr="00532CEA" w:rsidRDefault="00532CEA" w:rsidP="00532CEA">
      <w:pPr>
        <w:spacing w:after="0"/>
        <w:ind w:left="720"/>
        <w:contextualSpacing/>
        <w:rPr>
          <w:rFonts w:ascii="Garamond" w:eastAsia="Calibri" w:hAnsi="Garamond" w:cs="Times New Roman"/>
          <w:sz w:val="26"/>
          <w:szCs w:val="26"/>
          <w:lang w:val="en-US"/>
        </w:rPr>
      </w:pPr>
      <w:r w:rsidRPr="00532CEA">
        <w:rPr>
          <w:rFonts w:ascii="Garamond" w:eastAsia="Calibri" w:hAnsi="Garamond" w:cs="Times New Roman"/>
          <w:noProof/>
          <w:sz w:val="26"/>
          <w:szCs w:val="26"/>
          <w:lang w:val="en-US"/>
        </w:rPr>
        <w:drawing>
          <wp:inline distT="0" distB="0" distL="0" distR="0" wp14:anchorId="6B71038C" wp14:editId="69A21129">
            <wp:extent cx="5029200" cy="2828609"/>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2828609"/>
                    </a:xfrm>
                    <a:prstGeom prst="rect">
                      <a:avLst/>
                    </a:prstGeom>
                    <a:noFill/>
                  </pic:spPr>
                </pic:pic>
              </a:graphicData>
            </a:graphic>
          </wp:inline>
        </w:drawing>
      </w:r>
    </w:p>
    <w:p w:rsidR="00532CEA" w:rsidRPr="00532CEA" w:rsidRDefault="00532CEA" w:rsidP="00532CEA">
      <w:pPr>
        <w:spacing w:after="0"/>
        <w:ind w:left="720"/>
        <w:contextualSpacing/>
        <w:rPr>
          <w:rFonts w:ascii="Garamond" w:eastAsia="Calibri" w:hAnsi="Garamond" w:cs="Leelawadee"/>
          <w:sz w:val="26"/>
          <w:szCs w:val="26"/>
          <w:lang w:val="en-US"/>
        </w:rPr>
      </w:pPr>
      <w:r w:rsidRPr="00532CEA">
        <w:rPr>
          <w:rFonts w:ascii="Garamond" w:eastAsia="Calibri" w:hAnsi="Garamond" w:cs="Leelawadee"/>
          <w:noProof/>
          <w:sz w:val="26"/>
          <w:szCs w:val="26"/>
          <w:lang w:val="en-US"/>
        </w:rPr>
        <w:drawing>
          <wp:inline distT="0" distB="0" distL="0" distR="0" wp14:anchorId="0979431D" wp14:editId="0C10749F">
            <wp:extent cx="5029053" cy="3067050"/>
            <wp:effectExtent l="0" t="0" r="63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631"/>
                    <a:stretch/>
                  </pic:blipFill>
                  <pic:spPr bwMode="auto">
                    <a:xfrm>
                      <a:off x="0" y="0"/>
                      <a:ext cx="5029200" cy="3067140"/>
                    </a:xfrm>
                    <a:prstGeom prst="rect">
                      <a:avLst/>
                    </a:prstGeom>
                    <a:noFill/>
                    <a:ln>
                      <a:noFill/>
                    </a:ln>
                    <a:extLst>
                      <a:ext uri="{53640926-AAD7-44D8-BBD7-CCE9431645EC}">
                        <a14:shadowObscured xmlns:a14="http://schemas.microsoft.com/office/drawing/2010/main"/>
                      </a:ext>
                    </a:extLst>
                  </pic:spPr>
                </pic:pic>
              </a:graphicData>
            </a:graphic>
          </wp:inline>
        </w:drawing>
      </w:r>
    </w:p>
    <w:p w:rsidR="00532CEA" w:rsidRPr="00532CEA" w:rsidRDefault="00532CEA" w:rsidP="00532CEA">
      <w:pPr>
        <w:spacing w:after="0"/>
        <w:rPr>
          <w:rFonts w:ascii="Garamond" w:eastAsia="Calibri" w:hAnsi="Garamond" w:cs="Times New Roman"/>
          <w:sz w:val="26"/>
          <w:szCs w:val="26"/>
          <w:lang w:val="en-US"/>
        </w:rPr>
      </w:pPr>
      <w:r w:rsidRPr="00532CEA">
        <w:rPr>
          <w:rFonts w:ascii="Garamond" w:eastAsia="Calibri" w:hAnsi="Garamond" w:cs="Times New Roman"/>
          <w:sz w:val="26"/>
          <w:szCs w:val="26"/>
          <w:lang w:val="en-US"/>
        </w:rPr>
        <w:t>As a Public Benefit Corporation, PIARCS aims to catalyze the advent of a sustainable commodity industry:</w:t>
      </w:r>
    </w:p>
    <w:p w:rsidR="00532CEA" w:rsidRPr="00532CEA" w:rsidRDefault="00532CEA" w:rsidP="00532CEA">
      <w:pPr>
        <w:numPr>
          <w:ilvl w:val="0"/>
          <w:numId w:val="1"/>
        </w:numPr>
        <w:spacing w:after="0"/>
        <w:contextualSpacing/>
        <w:rPr>
          <w:rFonts w:ascii="Garamond" w:eastAsia="Calibri" w:hAnsi="Garamond" w:cs="Times New Roman"/>
          <w:sz w:val="26"/>
          <w:szCs w:val="26"/>
          <w:lang w:val="en-US"/>
        </w:rPr>
      </w:pPr>
      <w:r w:rsidRPr="00532CEA">
        <w:rPr>
          <w:rFonts w:ascii="Garamond" w:eastAsia="Calibri" w:hAnsi="Garamond" w:cs="Times New Roman"/>
          <w:sz w:val="26"/>
          <w:szCs w:val="26"/>
          <w:lang w:val="en-US"/>
        </w:rPr>
        <w:t xml:space="preserve">Low-cost licensing to end-users </w:t>
      </w:r>
      <w:r w:rsidRPr="00532CEA">
        <w:rPr>
          <w:rFonts w:ascii="Garamond" w:eastAsia="Calibri" w:hAnsi="Garamond" w:cs="Times New Roman"/>
          <w:sz w:val="26"/>
          <w:szCs w:val="26"/>
          <w:u w:val="single"/>
          <w:lang w:val="en-US"/>
        </w:rPr>
        <w:t>only</w:t>
      </w:r>
      <w:r w:rsidRPr="00532CEA">
        <w:rPr>
          <w:rFonts w:ascii="Garamond" w:eastAsia="Calibri" w:hAnsi="Garamond" w:cs="Times New Roman"/>
          <w:sz w:val="26"/>
          <w:szCs w:val="26"/>
          <w:lang w:val="en-US"/>
        </w:rPr>
        <w:t xml:space="preserve"> (algal biomass producers and wastewater treatment plants),</w:t>
      </w:r>
    </w:p>
    <w:p w:rsidR="00532CEA" w:rsidRPr="00532CEA" w:rsidRDefault="00532CEA" w:rsidP="00532CEA">
      <w:pPr>
        <w:numPr>
          <w:ilvl w:val="0"/>
          <w:numId w:val="1"/>
        </w:numPr>
        <w:spacing w:after="0"/>
        <w:contextualSpacing/>
        <w:rPr>
          <w:rFonts w:ascii="Garamond" w:eastAsia="Calibri" w:hAnsi="Garamond" w:cs="Times New Roman"/>
          <w:sz w:val="26"/>
          <w:szCs w:val="26"/>
          <w:lang w:val="en-US"/>
        </w:rPr>
      </w:pPr>
      <w:r w:rsidRPr="00532CEA">
        <w:rPr>
          <w:rFonts w:ascii="Garamond" w:eastAsia="Calibri" w:hAnsi="Garamond" w:cs="Times New Roman"/>
          <w:sz w:val="26"/>
          <w:szCs w:val="26"/>
          <w:lang w:val="en-US"/>
        </w:rPr>
        <w:t>Continuous development of technical resources for licensees at no additional cost,</w:t>
      </w:r>
    </w:p>
    <w:p w:rsidR="00532CEA" w:rsidRPr="00532CEA" w:rsidRDefault="00532CEA" w:rsidP="00532CEA">
      <w:pPr>
        <w:numPr>
          <w:ilvl w:val="0"/>
          <w:numId w:val="1"/>
        </w:numPr>
        <w:spacing w:after="60"/>
        <w:contextualSpacing/>
        <w:rPr>
          <w:rFonts w:ascii="Garamond" w:eastAsia="Calibri" w:hAnsi="Garamond" w:cs="Times New Roman"/>
          <w:sz w:val="26"/>
          <w:szCs w:val="26"/>
          <w:lang w:val="en-US"/>
        </w:rPr>
      </w:pPr>
      <w:r w:rsidRPr="00532CEA">
        <w:rPr>
          <w:rFonts w:ascii="Garamond" w:eastAsia="Calibri" w:hAnsi="Garamond" w:cs="Times New Roman"/>
          <w:sz w:val="26"/>
          <w:szCs w:val="26"/>
          <w:lang w:val="en-US"/>
        </w:rPr>
        <w:t>Strategic partnerships with manufacturers and CleanTech companies,</w:t>
      </w:r>
    </w:p>
    <w:p w:rsidR="00532CEA" w:rsidRPr="00532CEA" w:rsidRDefault="00532CEA" w:rsidP="00532CEA">
      <w:pPr>
        <w:numPr>
          <w:ilvl w:val="0"/>
          <w:numId w:val="1"/>
        </w:numPr>
        <w:spacing w:after="60"/>
        <w:contextualSpacing/>
        <w:rPr>
          <w:rFonts w:ascii="Garamond" w:eastAsia="Calibri" w:hAnsi="Garamond" w:cs="Times New Roman"/>
          <w:sz w:val="26"/>
          <w:szCs w:val="26"/>
          <w:lang w:val="en-US"/>
        </w:rPr>
      </w:pPr>
      <w:r w:rsidRPr="00532CEA">
        <w:rPr>
          <w:rFonts w:ascii="Garamond" w:eastAsia="Calibri" w:hAnsi="Garamond" w:cs="Times New Roman"/>
          <w:sz w:val="26"/>
          <w:szCs w:val="26"/>
          <w:lang w:val="en-US"/>
        </w:rPr>
        <w:t>Sponsoring a wide array of Public Benefit projects (education, energy efficiency, conservation and environmental cleanup).</w:t>
      </w:r>
    </w:p>
    <w:p w:rsidR="00532CEA" w:rsidRPr="00532CEA" w:rsidRDefault="00532CEA" w:rsidP="00532CEA">
      <w:pPr>
        <w:spacing w:after="60"/>
        <w:ind w:left="720"/>
        <w:contextualSpacing/>
        <w:rPr>
          <w:rFonts w:ascii="Garamond" w:eastAsia="Calibri" w:hAnsi="Garamond" w:cs="Times New Roman"/>
          <w:sz w:val="26"/>
          <w:szCs w:val="26"/>
          <w:lang w:val="en-US"/>
        </w:rPr>
      </w:pPr>
    </w:p>
    <w:p w:rsidR="00532CEA" w:rsidRPr="00532CEA" w:rsidRDefault="00532CEA" w:rsidP="00532CEA">
      <w:pPr>
        <w:spacing w:after="0"/>
        <w:ind w:left="720" w:hanging="360"/>
        <w:jc w:val="center"/>
        <w:rPr>
          <w:rFonts w:ascii="Garamond" w:eastAsia="Calibri" w:hAnsi="Garamond" w:cs="Leelawadee"/>
          <w:sz w:val="26"/>
          <w:szCs w:val="26"/>
          <w:lang w:val="en-US"/>
        </w:rPr>
      </w:pPr>
      <w:r w:rsidRPr="00532CEA">
        <w:rPr>
          <w:rFonts w:ascii="Garamond" w:eastAsia="Calibri" w:hAnsi="Garamond" w:cs="Leelawadee"/>
          <w:noProof/>
          <w:sz w:val="26"/>
          <w:szCs w:val="26"/>
          <w:lang w:val="en-US"/>
        </w:rPr>
        <w:drawing>
          <wp:inline distT="0" distB="0" distL="0" distR="0" wp14:anchorId="6E56BD5E" wp14:editId="10ABB58A">
            <wp:extent cx="5029200" cy="5260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9200" cy="526075"/>
                    </a:xfrm>
                    <a:prstGeom prst="rect">
                      <a:avLst/>
                    </a:prstGeom>
                    <a:noFill/>
                  </pic:spPr>
                </pic:pic>
              </a:graphicData>
            </a:graphic>
          </wp:inline>
        </w:drawing>
      </w:r>
    </w:p>
    <w:p w:rsidR="00532CEA" w:rsidRPr="00532CEA" w:rsidRDefault="00532CEA" w:rsidP="00532CEA">
      <w:pPr>
        <w:numPr>
          <w:ilvl w:val="0"/>
          <w:numId w:val="1"/>
        </w:numPr>
        <w:spacing w:after="60"/>
        <w:contextualSpacing/>
        <w:rPr>
          <w:rFonts w:ascii="Garamond" w:eastAsia="Calibri" w:hAnsi="Garamond" w:cs="Leelawadee"/>
          <w:sz w:val="26"/>
          <w:szCs w:val="26"/>
          <w:lang w:val="en-US"/>
        </w:rPr>
      </w:pPr>
      <w:r w:rsidRPr="00532CEA">
        <w:rPr>
          <w:rFonts w:ascii="Garamond" w:eastAsia="Calibri" w:hAnsi="Garamond" w:cs="Leelawadee"/>
          <w:b/>
          <w:sz w:val="26"/>
          <w:szCs w:val="26"/>
          <w:lang w:val="en-US"/>
        </w:rPr>
        <w:t>Capital efficiency</w:t>
      </w:r>
      <w:r w:rsidRPr="00532CEA">
        <w:rPr>
          <w:rFonts w:ascii="Garamond" w:eastAsia="Calibri" w:hAnsi="Garamond" w:cs="Leelawadee"/>
          <w:sz w:val="26"/>
          <w:szCs w:val="26"/>
          <w:lang w:val="en-US"/>
        </w:rPr>
        <w:t>: the proposed lab structure to validate the far-reaching implications of PIARCS’ IP is inherently efficient, since it only requires a small well-led R&amp;D team and minimal funding: $0.2M lab setup cost, $0.3M operating cost for Year 1, and a $2M operating cost for Year 2-3 (pilot scale validations), after which point PIARCS should ensure sustained revenues from licensing and partnerships.</w:t>
      </w:r>
    </w:p>
    <w:p w:rsidR="00532CEA" w:rsidRPr="00532CEA" w:rsidRDefault="00532CEA" w:rsidP="00532CEA">
      <w:pPr>
        <w:numPr>
          <w:ilvl w:val="0"/>
          <w:numId w:val="1"/>
        </w:numPr>
        <w:spacing w:after="60"/>
        <w:contextualSpacing/>
        <w:rPr>
          <w:rFonts w:ascii="Garamond" w:eastAsia="Calibri" w:hAnsi="Garamond" w:cs="Leelawadee"/>
          <w:sz w:val="26"/>
          <w:szCs w:val="26"/>
          <w:lang w:val="en-US"/>
        </w:rPr>
      </w:pPr>
      <w:r w:rsidRPr="00532CEA">
        <w:rPr>
          <w:rFonts w:ascii="Garamond" w:eastAsia="Calibri" w:hAnsi="Garamond" w:cs="Leelawadee"/>
          <w:b/>
          <w:sz w:val="26"/>
          <w:szCs w:val="26"/>
          <w:lang w:val="en-US"/>
        </w:rPr>
        <w:t>Risk mitigation</w:t>
      </w:r>
      <w:r w:rsidRPr="00532CEA">
        <w:rPr>
          <w:rFonts w:ascii="Garamond" w:eastAsia="Calibri" w:hAnsi="Garamond" w:cs="Leelawadee"/>
          <w:sz w:val="26"/>
          <w:szCs w:val="26"/>
          <w:lang w:val="en-US"/>
        </w:rPr>
        <w:t xml:space="preserve">: the dual R&amp;D focus provides risk mitigation for the investors, as well as a dual revenue stream from a fixed setup cost.  </w:t>
      </w:r>
    </w:p>
    <w:p w:rsidR="00532CEA" w:rsidRPr="00532CEA" w:rsidRDefault="00532CEA" w:rsidP="00532CEA">
      <w:pPr>
        <w:numPr>
          <w:ilvl w:val="0"/>
          <w:numId w:val="1"/>
        </w:numPr>
        <w:spacing w:after="60"/>
        <w:contextualSpacing/>
        <w:rPr>
          <w:rFonts w:ascii="Garamond" w:eastAsia="Calibri" w:hAnsi="Garamond" w:cs="Leelawadee"/>
          <w:sz w:val="26"/>
          <w:szCs w:val="26"/>
          <w:lang w:val="en-US"/>
        </w:rPr>
      </w:pPr>
      <w:r w:rsidRPr="00532CEA">
        <w:rPr>
          <w:rFonts w:ascii="Garamond" w:eastAsia="Calibri" w:hAnsi="Garamond" w:cs="Leelawadee"/>
          <w:b/>
          <w:sz w:val="26"/>
          <w:szCs w:val="26"/>
          <w:lang w:val="en-US"/>
        </w:rPr>
        <w:t>Key risks are taken early</w:t>
      </w:r>
      <w:r w:rsidRPr="00532CEA">
        <w:rPr>
          <w:rFonts w:ascii="Garamond" w:eastAsia="Calibri" w:hAnsi="Garamond" w:cs="Leelawadee"/>
          <w:sz w:val="26"/>
          <w:szCs w:val="26"/>
          <w:lang w:val="en-US"/>
        </w:rPr>
        <w:t>:</w:t>
      </w:r>
      <w:r w:rsidRPr="00532CEA">
        <w:rPr>
          <w:rFonts w:ascii="Garamond" w:eastAsia="Calibri" w:hAnsi="Garamond" w:cs="Leelawadee"/>
          <w:b/>
          <w:sz w:val="26"/>
          <w:szCs w:val="26"/>
          <w:lang w:val="en-US"/>
        </w:rPr>
        <w:t xml:space="preserve">  </w:t>
      </w:r>
      <w:r w:rsidRPr="00532CEA">
        <w:rPr>
          <w:rFonts w:ascii="Garamond" w:eastAsia="Calibri" w:hAnsi="Garamond" w:cs="Leelawadee"/>
          <w:sz w:val="26"/>
          <w:szCs w:val="26"/>
          <w:lang w:val="en-US"/>
        </w:rPr>
        <w:t>The main IP milestones are to be reached within the first 6-9 months of Year 1 R&amp;D, with key patents submitted and validated.</w:t>
      </w:r>
    </w:p>
    <w:p w:rsidR="00532CEA" w:rsidRPr="00532CEA" w:rsidRDefault="00532CEA" w:rsidP="00532CEA">
      <w:pPr>
        <w:numPr>
          <w:ilvl w:val="0"/>
          <w:numId w:val="1"/>
        </w:numPr>
        <w:spacing w:after="60"/>
        <w:contextualSpacing/>
        <w:rPr>
          <w:rFonts w:ascii="Garamond" w:eastAsia="Calibri" w:hAnsi="Garamond" w:cs="Leelawadee"/>
          <w:sz w:val="26"/>
          <w:szCs w:val="26"/>
          <w:lang w:val="en-US"/>
        </w:rPr>
      </w:pPr>
      <w:r w:rsidRPr="00532CEA">
        <w:rPr>
          <w:rFonts w:ascii="Garamond" w:eastAsia="Calibri" w:hAnsi="Garamond" w:cs="Leelawadee"/>
          <w:b/>
          <w:sz w:val="26"/>
          <w:szCs w:val="26"/>
          <w:lang w:val="en-US"/>
        </w:rPr>
        <w:t>Near-term markets</w:t>
      </w:r>
      <w:r w:rsidRPr="00532CEA">
        <w:rPr>
          <w:rFonts w:ascii="Garamond" w:eastAsia="Calibri" w:hAnsi="Garamond" w:cs="Leelawadee"/>
          <w:sz w:val="26"/>
          <w:szCs w:val="26"/>
          <w:lang w:val="en-US"/>
        </w:rPr>
        <w:t>: the highly mature phosphorous IP alone provides a robust near-term revenue stream.</w:t>
      </w:r>
    </w:p>
    <w:p w:rsidR="00532CEA" w:rsidRPr="00532CEA" w:rsidRDefault="00532CEA" w:rsidP="00532CEA">
      <w:pPr>
        <w:spacing w:after="60"/>
        <w:ind w:left="720"/>
        <w:contextualSpacing/>
        <w:rPr>
          <w:rFonts w:ascii="Garamond" w:eastAsia="Calibri" w:hAnsi="Garamond" w:cs="Leelawadee"/>
          <w:sz w:val="26"/>
          <w:szCs w:val="26"/>
          <w:lang w:val="en-US"/>
        </w:rPr>
      </w:pPr>
      <w:r w:rsidRPr="00532CEA">
        <w:rPr>
          <w:rFonts w:ascii="Garamond" w:eastAsia="Calibri" w:hAnsi="Garamond" w:cs="Leelawadee"/>
          <w:noProof/>
          <w:sz w:val="26"/>
          <w:szCs w:val="26"/>
          <w:lang w:val="en-US"/>
        </w:rPr>
        <w:drawing>
          <wp:inline distT="0" distB="0" distL="0" distR="0" wp14:anchorId="26602250" wp14:editId="51110CDC">
            <wp:extent cx="5029200" cy="5260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526075"/>
                    </a:xfrm>
                    <a:prstGeom prst="rect">
                      <a:avLst/>
                    </a:prstGeom>
                    <a:noFill/>
                  </pic:spPr>
                </pic:pic>
              </a:graphicData>
            </a:graphic>
          </wp:inline>
        </w:drawing>
      </w:r>
    </w:p>
    <w:p w:rsidR="00532CEA" w:rsidRPr="00532CEA" w:rsidRDefault="00532CEA" w:rsidP="00532CEA">
      <w:pPr>
        <w:spacing w:after="60"/>
        <w:ind w:left="360"/>
        <w:rPr>
          <w:rFonts w:ascii="Garamond" w:eastAsia="Calibri" w:hAnsi="Garamond" w:cs="Times New Roman"/>
          <w:sz w:val="26"/>
          <w:szCs w:val="26"/>
          <w:lang w:val="en-US"/>
        </w:rPr>
      </w:pPr>
      <w:r w:rsidRPr="00532CEA">
        <w:rPr>
          <w:rFonts w:ascii="Garamond" w:eastAsia="Calibri" w:hAnsi="Garamond" w:cs="Times New Roman"/>
          <w:sz w:val="26"/>
          <w:szCs w:val="26"/>
          <w:lang w:val="en-US"/>
        </w:rPr>
        <w:t>The contractual dividend structure, provided as an amendment to PIARCS’ Certificate of Incorporation, was designed to conciliate:</w:t>
      </w:r>
    </w:p>
    <w:p w:rsidR="00532CEA" w:rsidRPr="00532CEA" w:rsidRDefault="00532CEA" w:rsidP="00532CEA">
      <w:pPr>
        <w:numPr>
          <w:ilvl w:val="0"/>
          <w:numId w:val="1"/>
        </w:numPr>
        <w:spacing w:after="60"/>
        <w:contextualSpacing/>
        <w:rPr>
          <w:rFonts w:ascii="Garamond" w:eastAsia="Calibri" w:hAnsi="Garamond" w:cs="Times New Roman"/>
          <w:sz w:val="26"/>
          <w:szCs w:val="26"/>
          <w:lang w:val="en-US"/>
        </w:rPr>
      </w:pPr>
      <w:r w:rsidRPr="00532CEA">
        <w:rPr>
          <w:rFonts w:ascii="Garamond" w:eastAsia="Calibri" w:hAnsi="Garamond" w:cs="Times New Roman"/>
          <w:sz w:val="26"/>
          <w:szCs w:val="26"/>
          <w:lang w:val="en-US"/>
        </w:rPr>
        <w:t>PIARCS’ priority to achieve rapid Return on Investment for seed investors</w:t>
      </w:r>
    </w:p>
    <w:p w:rsidR="00532CEA" w:rsidRPr="00532CEA" w:rsidRDefault="00532CEA" w:rsidP="00532CEA">
      <w:pPr>
        <w:numPr>
          <w:ilvl w:val="0"/>
          <w:numId w:val="1"/>
        </w:numPr>
        <w:spacing w:after="60"/>
        <w:contextualSpacing/>
        <w:rPr>
          <w:rFonts w:ascii="Garamond" w:eastAsia="Calibri" w:hAnsi="Garamond" w:cs="Times New Roman"/>
          <w:sz w:val="26"/>
          <w:szCs w:val="26"/>
          <w:lang w:val="en-US"/>
        </w:rPr>
      </w:pPr>
      <w:r w:rsidRPr="00532CEA">
        <w:rPr>
          <w:rFonts w:ascii="Garamond" w:eastAsia="Calibri" w:hAnsi="Garamond" w:cs="Times New Roman"/>
          <w:sz w:val="26"/>
          <w:szCs w:val="26"/>
          <w:lang w:val="en-US"/>
        </w:rPr>
        <w:t>As well as a lightening of the dividend financial burden as the company expands (from 25% of the annual net income Year 4 to below 5% from Year 7 on).</w:t>
      </w:r>
    </w:p>
    <w:p w:rsidR="00532CEA" w:rsidRPr="00532CEA" w:rsidRDefault="00532CEA" w:rsidP="00532CEA">
      <w:pPr>
        <w:spacing w:after="60"/>
        <w:ind w:left="720"/>
        <w:contextualSpacing/>
        <w:rPr>
          <w:rFonts w:ascii="Garamond" w:eastAsia="Calibri" w:hAnsi="Garamond" w:cs="Times New Roman"/>
          <w:sz w:val="16"/>
          <w:szCs w:val="16"/>
          <w:lang w:val="en-US"/>
        </w:rPr>
      </w:pPr>
    </w:p>
    <w:p w:rsidR="00532CEA" w:rsidRPr="00532CEA" w:rsidRDefault="00532CEA" w:rsidP="00532CEA">
      <w:pPr>
        <w:spacing w:after="60"/>
        <w:ind w:left="720"/>
        <w:contextualSpacing/>
        <w:jc w:val="center"/>
        <w:rPr>
          <w:rFonts w:ascii="Garamond" w:eastAsia="Calibri" w:hAnsi="Garamond" w:cs="Times New Roman"/>
          <w:sz w:val="10"/>
          <w:szCs w:val="10"/>
          <w:lang w:val="en-US"/>
        </w:rPr>
      </w:pPr>
      <w:r w:rsidRPr="00532CEA">
        <w:rPr>
          <w:rFonts w:ascii="Garamond" w:eastAsia="Calibri" w:hAnsi="Garamond" w:cs="Times New Roman"/>
          <w:noProof/>
          <w:sz w:val="10"/>
          <w:szCs w:val="10"/>
          <w:lang w:val="en-US"/>
        </w:rPr>
        <w:drawing>
          <wp:inline distT="0" distB="0" distL="0" distR="0" wp14:anchorId="16273DCC" wp14:editId="7A7A87D5">
            <wp:extent cx="3840480" cy="2573067"/>
            <wp:effectExtent l="0" t="0" r="762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0480" cy="2573067"/>
                    </a:xfrm>
                    <a:prstGeom prst="rect">
                      <a:avLst/>
                    </a:prstGeom>
                    <a:noFill/>
                  </pic:spPr>
                </pic:pic>
              </a:graphicData>
            </a:graphic>
          </wp:inline>
        </w:drawing>
      </w:r>
    </w:p>
    <w:p w:rsidR="00532CEA" w:rsidRPr="00532CEA" w:rsidRDefault="00532CEA" w:rsidP="00532CEA">
      <w:pPr>
        <w:spacing w:after="60"/>
        <w:ind w:left="720"/>
        <w:contextualSpacing/>
        <w:jc w:val="center"/>
        <w:rPr>
          <w:rFonts w:ascii="Garamond" w:eastAsia="Calibri" w:hAnsi="Garamond" w:cs="Times New Roman"/>
          <w:sz w:val="10"/>
          <w:szCs w:val="10"/>
          <w:lang w:val="en-US"/>
        </w:rPr>
      </w:pPr>
    </w:p>
    <w:p w:rsidR="00532CEA" w:rsidRPr="00532CEA" w:rsidRDefault="00532CEA" w:rsidP="00532CEA">
      <w:pPr>
        <w:spacing w:after="0"/>
        <w:jc w:val="center"/>
        <w:rPr>
          <w:rFonts w:ascii="Garamond" w:eastAsia="Calibri" w:hAnsi="Garamond" w:cs="Leelawadee"/>
          <w:sz w:val="26"/>
          <w:szCs w:val="26"/>
          <w:lang w:val="en-US"/>
        </w:rPr>
      </w:pPr>
      <w:r w:rsidRPr="00532CEA">
        <w:rPr>
          <w:rFonts w:ascii="Garamond" w:eastAsia="Calibri" w:hAnsi="Garamond" w:cs="Leelawadee"/>
          <w:noProof/>
          <w:sz w:val="26"/>
          <w:szCs w:val="26"/>
          <w:lang w:val="en-US"/>
        </w:rPr>
        <w:drawing>
          <wp:inline distT="0" distB="0" distL="0" distR="0" wp14:anchorId="49B9F695" wp14:editId="7E3583DF">
            <wp:extent cx="5029200" cy="52607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9200" cy="526075"/>
                    </a:xfrm>
                    <a:prstGeom prst="rect">
                      <a:avLst/>
                    </a:prstGeom>
                    <a:noFill/>
                  </pic:spPr>
                </pic:pic>
              </a:graphicData>
            </a:graphic>
          </wp:inline>
        </w:drawing>
      </w:r>
    </w:p>
    <w:p w:rsidR="00532CEA" w:rsidRPr="00532CEA" w:rsidRDefault="00532CEA" w:rsidP="00532CEA">
      <w:pPr>
        <w:spacing w:before="200" w:after="0" w:line="216" w:lineRule="auto"/>
        <w:ind w:left="720"/>
        <w:rPr>
          <w:rFonts w:ascii="Garamond" w:eastAsia="Times New Roman" w:hAnsi="Garamond" w:cs="Times New Roman"/>
          <w:sz w:val="32"/>
          <w:szCs w:val="32"/>
          <w:lang w:val="en-US"/>
        </w:rPr>
      </w:pPr>
      <w:r w:rsidRPr="00532CEA">
        <w:rPr>
          <w:rFonts w:ascii="Garamond" w:eastAsia="Times New Roman" w:hAnsi="Garamond" w:cs="Times New Roman"/>
          <w:color w:val="000000"/>
          <w:kern w:val="24"/>
          <w:sz w:val="32"/>
          <w:szCs w:val="32"/>
          <w:lang w:val="en-US"/>
        </w:rPr>
        <w:t>Alexandra Holland, PhD, Founder and CEO</w:t>
      </w:r>
    </w:p>
    <w:p w:rsidR="00532CEA" w:rsidRPr="00532CEA" w:rsidRDefault="00532CEA" w:rsidP="00532CEA">
      <w:pPr>
        <w:numPr>
          <w:ilvl w:val="0"/>
          <w:numId w:val="34"/>
        </w:numPr>
        <w:spacing w:after="0" w:line="216" w:lineRule="auto"/>
        <w:ind w:left="1080"/>
        <w:contextualSpacing/>
        <w:rPr>
          <w:rFonts w:ascii="Garamond" w:eastAsia="Times New Roman" w:hAnsi="Garamond" w:cs="Times New Roman"/>
          <w:sz w:val="26"/>
          <w:szCs w:val="26"/>
          <w:lang w:val="en-US"/>
        </w:rPr>
      </w:pPr>
      <w:r w:rsidRPr="00532CEA">
        <w:rPr>
          <w:rFonts w:ascii="Garamond" w:eastAsia="Times New Roman" w:hAnsi="Garamond" w:cs="Times New Roman"/>
          <w:color w:val="000000"/>
          <w:kern w:val="24"/>
          <w:sz w:val="26"/>
          <w:szCs w:val="26"/>
          <w:lang w:val="en-US"/>
        </w:rPr>
        <w:t>Interdisciplinary training (Chemical Engineering and Microbiology)</w:t>
      </w:r>
    </w:p>
    <w:p w:rsidR="00532CEA" w:rsidRPr="00532CEA" w:rsidRDefault="00532CEA" w:rsidP="00532CEA">
      <w:pPr>
        <w:numPr>
          <w:ilvl w:val="0"/>
          <w:numId w:val="34"/>
        </w:numPr>
        <w:spacing w:after="0" w:line="216" w:lineRule="auto"/>
        <w:ind w:left="1080"/>
        <w:contextualSpacing/>
        <w:rPr>
          <w:rFonts w:ascii="Garamond" w:eastAsia="Times New Roman" w:hAnsi="Garamond" w:cs="Times New Roman"/>
          <w:sz w:val="26"/>
          <w:szCs w:val="26"/>
          <w:lang w:val="en-US"/>
        </w:rPr>
      </w:pPr>
      <w:r w:rsidRPr="00532CEA">
        <w:rPr>
          <w:rFonts w:ascii="Garamond" w:eastAsia="Times New Roman" w:hAnsi="Garamond" w:cs="Times New Roman"/>
          <w:color w:val="000000"/>
          <w:kern w:val="24"/>
          <w:sz w:val="26"/>
          <w:szCs w:val="26"/>
          <w:lang w:val="en-US"/>
        </w:rPr>
        <w:t>Pedagogical experience</w:t>
      </w:r>
    </w:p>
    <w:p w:rsidR="00532CEA" w:rsidRPr="00532CEA" w:rsidRDefault="00532CEA" w:rsidP="00532CEA">
      <w:pPr>
        <w:numPr>
          <w:ilvl w:val="0"/>
          <w:numId w:val="34"/>
        </w:numPr>
        <w:spacing w:after="0" w:line="216" w:lineRule="auto"/>
        <w:ind w:left="1080"/>
        <w:contextualSpacing/>
        <w:rPr>
          <w:rFonts w:ascii="Garamond" w:eastAsia="Times New Roman" w:hAnsi="Garamond" w:cs="Times New Roman"/>
          <w:sz w:val="26"/>
          <w:szCs w:val="26"/>
          <w:lang w:val="en-US"/>
        </w:rPr>
      </w:pPr>
      <w:r w:rsidRPr="00532CEA">
        <w:rPr>
          <w:rFonts w:ascii="Garamond" w:eastAsia="Calibri" w:hAnsi="Garamond" w:cs="Leelawadee"/>
          <w:noProof/>
          <w:sz w:val="26"/>
          <w:szCs w:val="26"/>
          <w:lang w:val="en-US"/>
        </w:rPr>
        <w:drawing>
          <wp:anchor distT="0" distB="0" distL="114300" distR="114300" simplePos="0" relativeHeight="251670528" behindDoc="0" locked="0" layoutInCell="1" allowOverlap="1" wp14:anchorId="661108BB" wp14:editId="3688DE8D">
            <wp:simplePos x="0" y="0"/>
            <wp:positionH relativeFrom="rightMargin">
              <wp:posOffset>-1495425</wp:posOffset>
            </wp:positionH>
            <wp:positionV relativeFrom="paragraph">
              <wp:posOffset>18415</wp:posOffset>
            </wp:positionV>
            <wp:extent cx="1009650" cy="99377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9650" cy="993775"/>
                    </a:xfrm>
                    <a:prstGeom prst="rect">
                      <a:avLst/>
                    </a:prstGeom>
                    <a:noFill/>
                  </pic:spPr>
                </pic:pic>
              </a:graphicData>
            </a:graphic>
            <wp14:sizeRelH relativeFrom="margin">
              <wp14:pctWidth>0</wp14:pctWidth>
            </wp14:sizeRelH>
            <wp14:sizeRelV relativeFrom="margin">
              <wp14:pctHeight>0</wp14:pctHeight>
            </wp14:sizeRelV>
          </wp:anchor>
        </w:drawing>
      </w:r>
      <w:r w:rsidRPr="00532CEA">
        <w:rPr>
          <w:rFonts w:ascii="Garamond" w:eastAsia="Times New Roman" w:hAnsi="Garamond" w:cs="Times New Roman"/>
          <w:color w:val="000000"/>
          <w:kern w:val="24"/>
          <w:sz w:val="26"/>
          <w:szCs w:val="26"/>
          <w:lang w:val="en-US"/>
        </w:rPr>
        <w:t>International and multi-disciplinary scientific ties</w:t>
      </w:r>
    </w:p>
    <w:p w:rsidR="00532CEA" w:rsidRPr="00532CEA" w:rsidRDefault="00532CEA" w:rsidP="00532CEA">
      <w:pPr>
        <w:spacing w:before="200" w:after="0" w:line="216" w:lineRule="auto"/>
        <w:ind w:left="720"/>
        <w:rPr>
          <w:rFonts w:ascii="Garamond" w:eastAsia="Times New Roman" w:hAnsi="Garamond" w:cs="Times New Roman"/>
          <w:sz w:val="32"/>
          <w:szCs w:val="32"/>
          <w:lang w:val="en-US"/>
        </w:rPr>
      </w:pPr>
      <w:r w:rsidRPr="00532CEA">
        <w:rPr>
          <w:rFonts w:ascii="Garamond" w:eastAsia="Times New Roman" w:hAnsi="Garamond" w:cs="Times New Roman"/>
          <w:color w:val="000000"/>
          <w:kern w:val="24"/>
          <w:sz w:val="32"/>
          <w:szCs w:val="32"/>
          <w:lang w:val="en-US"/>
        </w:rPr>
        <w:t>X, PhD (currently employed elsewhere)</w:t>
      </w:r>
    </w:p>
    <w:p w:rsidR="00532CEA" w:rsidRPr="00532CEA" w:rsidRDefault="00532CEA" w:rsidP="00532CEA">
      <w:pPr>
        <w:numPr>
          <w:ilvl w:val="0"/>
          <w:numId w:val="35"/>
        </w:numPr>
        <w:spacing w:after="0" w:line="216" w:lineRule="auto"/>
        <w:ind w:left="1080"/>
        <w:contextualSpacing/>
        <w:rPr>
          <w:rFonts w:ascii="Garamond" w:eastAsia="Times New Roman" w:hAnsi="Garamond" w:cs="Times New Roman"/>
          <w:sz w:val="26"/>
          <w:szCs w:val="26"/>
          <w:lang w:val="en-US"/>
        </w:rPr>
      </w:pPr>
      <w:r w:rsidRPr="00532CEA">
        <w:rPr>
          <w:rFonts w:ascii="Garamond" w:eastAsia="Times New Roman" w:hAnsi="Garamond" w:cs="Times New Roman"/>
          <w:color w:val="000000"/>
          <w:kern w:val="24"/>
          <w:sz w:val="26"/>
          <w:szCs w:val="26"/>
          <w:lang w:val="en-US"/>
        </w:rPr>
        <w:t xml:space="preserve">Algal culture optimization </w:t>
      </w:r>
    </w:p>
    <w:p w:rsidR="00532CEA" w:rsidRPr="00532CEA" w:rsidRDefault="00532CEA" w:rsidP="00532CEA">
      <w:pPr>
        <w:numPr>
          <w:ilvl w:val="0"/>
          <w:numId w:val="35"/>
        </w:numPr>
        <w:spacing w:after="0" w:line="216" w:lineRule="auto"/>
        <w:ind w:left="1080"/>
        <w:contextualSpacing/>
        <w:rPr>
          <w:rFonts w:ascii="Garamond" w:eastAsia="Times New Roman" w:hAnsi="Garamond" w:cs="Times New Roman"/>
          <w:sz w:val="26"/>
          <w:szCs w:val="26"/>
          <w:lang w:val="en-US"/>
        </w:rPr>
      </w:pPr>
      <w:r w:rsidRPr="00532CEA">
        <w:rPr>
          <w:rFonts w:ascii="Garamond" w:eastAsia="Times New Roman" w:hAnsi="Garamond" w:cs="Times New Roman"/>
          <w:color w:val="000000"/>
          <w:kern w:val="24"/>
          <w:sz w:val="26"/>
          <w:szCs w:val="26"/>
          <w:lang w:val="en-US"/>
        </w:rPr>
        <w:t>Bacterial production processes (team leader)</w:t>
      </w:r>
    </w:p>
    <w:p w:rsidR="00532CEA" w:rsidRPr="00532CEA" w:rsidRDefault="00532CEA" w:rsidP="00532CEA">
      <w:pPr>
        <w:spacing w:before="200" w:after="0" w:line="216" w:lineRule="auto"/>
        <w:ind w:left="720"/>
        <w:rPr>
          <w:rFonts w:ascii="Garamond" w:eastAsia="Times New Roman" w:hAnsi="Garamond" w:cs="Times New Roman"/>
          <w:sz w:val="32"/>
          <w:szCs w:val="32"/>
          <w:lang w:val="en-US"/>
        </w:rPr>
      </w:pPr>
      <w:r w:rsidRPr="00532CEA">
        <w:rPr>
          <w:rFonts w:ascii="Garamond" w:eastAsia="Times New Roman" w:hAnsi="Garamond" w:cs="Times New Roman"/>
          <w:color w:val="000000"/>
          <w:kern w:val="24"/>
          <w:sz w:val="32"/>
          <w:szCs w:val="32"/>
          <w:lang w:val="en-US"/>
        </w:rPr>
        <w:t>Joe Dragavon, PhD</w:t>
      </w:r>
    </w:p>
    <w:p w:rsidR="00532CEA" w:rsidRPr="00532CEA" w:rsidRDefault="00532CEA" w:rsidP="00532CEA">
      <w:pPr>
        <w:numPr>
          <w:ilvl w:val="0"/>
          <w:numId w:val="36"/>
        </w:numPr>
        <w:spacing w:after="0" w:line="216" w:lineRule="auto"/>
        <w:ind w:left="1080"/>
        <w:contextualSpacing/>
        <w:rPr>
          <w:rFonts w:ascii="Garamond" w:eastAsia="Times New Roman" w:hAnsi="Garamond" w:cs="Times New Roman"/>
          <w:sz w:val="26"/>
          <w:szCs w:val="26"/>
          <w:lang w:val="en-US"/>
        </w:rPr>
      </w:pPr>
      <w:r w:rsidRPr="00532CEA">
        <w:rPr>
          <w:rFonts w:ascii="Garamond" w:eastAsia="Times New Roman" w:hAnsi="Garamond" w:cs="Times New Roman"/>
          <w:color w:val="000000"/>
          <w:kern w:val="24"/>
          <w:sz w:val="26"/>
          <w:szCs w:val="26"/>
          <w:lang w:val="en-US"/>
        </w:rPr>
        <w:t>Analytical Chemistry</w:t>
      </w:r>
    </w:p>
    <w:p w:rsidR="00532CEA" w:rsidRPr="00532CEA" w:rsidRDefault="00532CEA" w:rsidP="00532CEA">
      <w:pPr>
        <w:numPr>
          <w:ilvl w:val="0"/>
          <w:numId w:val="36"/>
        </w:numPr>
        <w:spacing w:after="0" w:line="216" w:lineRule="auto"/>
        <w:ind w:left="1080"/>
        <w:contextualSpacing/>
        <w:rPr>
          <w:rFonts w:ascii="Garamond" w:eastAsia="Times New Roman" w:hAnsi="Garamond" w:cs="Times New Roman"/>
          <w:sz w:val="26"/>
          <w:szCs w:val="26"/>
          <w:lang w:val="en-US"/>
        </w:rPr>
      </w:pPr>
      <w:r w:rsidRPr="00532CEA">
        <w:rPr>
          <w:rFonts w:ascii="Garamond" w:eastAsia="Times New Roman" w:hAnsi="Garamond" w:cs="Times New Roman"/>
          <w:color w:val="000000"/>
          <w:kern w:val="24"/>
          <w:sz w:val="26"/>
          <w:szCs w:val="26"/>
          <w:lang w:val="en-US"/>
        </w:rPr>
        <w:t>Co-author on two publications</w:t>
      </w:r>
    </w:p>
    <w:p w:rsidR="00532CEA" w:rsidRPr="00532CEA" w:rsidRDefault="00532CEA" w:rsidP="00532CEA">
      <w:pPr>
        <w:spacing w:after="0" w:line="216" w:lineRule="auto"/>
        <w:ind w:left="1080"/>
        <w:contextualSpacing/>
        <w:rPr>
          <w:rFonts w:ascii="Garamond" w:eastAsia="Times New Roman" w:hAnsi="Garamond" w:cs="Times New Roman"/>
          <w:sz w:val="26"/>
          <w:szCs w:val="26"/>
          <w:lang w:val="en-US"/>
        </w:rPr>
      </w:pPr>
    </w:p>
    <w:p w:rsidR="00532CEA" w:rsidRPr="00532CEA" w:rsidRDefault="00532CEA" w:rsidP="00532CEA">
      <w:pPr>
        <w:spacing w:after="60"/>
        <w:ind w:left="360"/>
        <w:jc w:val="center"/>
        <w:rPr>
          <w:rFonts w:ascii="Garamond" w:eastAsia="Calibri" w:hAnsi="Garamond" w:cs="Leelawadee"/>
          <w:color w:val="149346"/>
          <w:sz w:val="26"/>
          <w:szCs w:val="26"/>
          <w:lang w:val="en-US"/>
        </w:rPr>
      </w:pPr>
      <w:r w:rsidRPr="00532CEA">
        <w:rPr>
          <w:rFonts w:ascii="Garamond" w:eastAsia="Calibri" w:hAnsi="Garamond" w:cs="Leelawadee"/>
          <w:color w:val="149346"/>
          <w:sz w:val="26"/>
          <w:szCs w:val="26"/>
          <w:lang w:val="en-US"/>
        </w:rPr>
        <w:t xml:space="preserve">I look forward to discussing this initiative further with you. Please contact me at: </w:t>
      </w:r>
    </w:p>
    <w:p w:rsidR="00532CEA" w:rsidRPr="00532CEA" w:rsidRDefault="00532CEA" w:rsidP="00532CEA">
      <w:pPr>
        <w:spacing w:after="60"/>
        <w:ind w:left="360"/>
        <w:jc w:val="center"/>
        <w:rPr>
          <w:rFonts w:ascii="Garamond" w:eastAsia="Calibri" w:hAnsi="Garamond" w:cs="Leelawadee"/>
          <w:color w:val="149346"/>
          <w:sz w:val="26"/>
          <w:szCs w:val="26"/>
          <w:lang w:val="en-US"/>
        </w:rPr>
      </w:pPr>
      <w:r w:rsidRPr="00532CEA">
        <w:rPr>
          <w:rFonts w:ascii="Garamond" w:eastAsia="Calibri" w:hAnsi="Garamond" w:cs="Leelawadee"/>
          <w:color w:val="149346"/>
          <w:sz w:val="26"/>
          <w:szCs w:val="26"/>
          <w:lang w:val="en-US"/>
        </w:rPr>
        <w:t>(562) 310-7570</w:t>
      </w:r>
    </w:p>
    <w:p w:rsidR="00532CEA" w:rsidRPr="00532CEA" w:rsidRDefault="00532CEA" w:rsidP="00532CEA">
      <w:pPr>
        <w:spacing w:after="60"/>
        <w:ind w:left="360"/>
        <w:jc w:val="center"/>
        <w:rPr>
          <w:rFonts w:ascii="Garamond" w:hAnsi="Garamond" w:cs="Leelawadee"/>
          <w:sz w:val="26"/>
          <w:szCs w:val="26"/>
          <w:lang w:val="en-US"/>
        </w:rPr>
        <w:sectPr w:rsidR="00532CEA" w:rsidRPr="00532CEA" w:rsidSect="00F23DAC">
          <w:headerReference w:type="default" r:id="rId27"/>
          <w:footerReference w:type="default" r:id="rId28"/>
          <w:pgSz w:w="12240" w:h="15840"/>
          <w:pgMar w:top="1440" w:right="1440" w:bottom="1440" w:left="1440" w:header="720" w:footer="720" w:gutter="0"/>
          <w:pgNumType w:start="1"/>
          <w:cols w:space="720"/>
          <w:docGrid w:linePitch="360"/>
        </w:sectPr>
      </w:pPr>
      <w:r w:rsidRPr="00532CEA">
        <w:rPr>
          <w:rFonts w:ascii="Garamond" w:eastAsia="Calibri" w:hAnsi="Garamond" w:cs="Leelawadee"/>
          <w:color w:val="149346"/>
          <w:sz w:val="26"/>
          <w:szCs w:val="26"/>
          <w:lang w:val="en-US"/>
        </w:rPr>
        <w:t>holland@piarcs.org</w:t>
      </w:r>
    </w:p>
    <w:p w:rsidR="009124F0" w:rsidRPr="00CE07F7" w:rsidRDefault="009124F0" w:rsidP="009124F0">
      <w:pPr>
        <w:tabs>
          <w:tab w:val="left" w:pos="4860"/>
          <w:tab w:val="left" w:pos="7020"/>
          <w:tab w:val="right" w:pos="9180"/>
        </w:tabs>
        <w:spacing w:after="0"/>
        <w:rPr>
          <w:rFonts w:ascii="Garamond" w:eastAsia="Calibri" w:hAnsi="Garamond" w:cs="Leelawadee"/>
          <w:sz w:val="26"/>
          <w:szCs w:val="26"/>
          <w:lang w:val="en-US"/>
        </w:rPr>
      </w:pPr>
      <w:r w:rsidRPr="00CE07F7">
        <w:rPr>
          <w:rFonts w:ascii="Garamond" w:eastAsia="Calibri" w:hAnsi="Garamond" w:cs="Leelawadee"/>
          <w:sz w:val="26"/>
          <w:szCs w:val="26"/>
          <w:lang w:val="en-US"/>
        </w:rPr>
        <w:t>Delaware Corporation founded in March, 2014</w:t>
      </w:r>
    </w:p>
    <w:p w:rsidR="009124F0" w:rsidRPr="00CE07F7" w:rsidRDefault="009124F0" w:rsidP="009124F0">
      <w:pPr>
        <w:tabs>
          <w:tab w:val="left" w:pos="4860"/>
          <w:tab w:val="left" w:pos="7020"/>
          <w:tab w:val="right" w:pos="9180"/>
        </w:tabs>
        <w:spacing w:after="0"/>
        <w:ind w:left="360"/>
        <w:rPr>
          <w:rFonts w:ascii="Garamond" w:eastAsia="Calibri" w:hAnsi="Garamond" w:cs="Leelawadee"/>
          <w:sz w:val="26"/>
          <w:szCs w:val="26"/>
          <w:lang w:val="en-US"/>
        </w:rPr>
      </w:pPr>
      <w:r w:rsidRPr="00CE07F7">
        <w:rPr>
          <w:rFonts w:ascii="Garamond" w:eastAsia="Calibri" w:hAnsi="Garamond" w:cs="Leelawadee"/>
          <w:sz w:val="26"/>
          <w:szCs w:val="26"/>
          <w:lang w:val="en-US"/>
        </w:rPr>
        <w:t>R&amp;D in Algal biomass/biofuel &amp; Water management</w:t>
      </w:r>
    </w:p>
    <w:p w:rsidR="009124F0" w:rsidRPr="00CE07F7" w:rsidRDefault="009124F0" w:rsidP="009124F0">
      <w:pPr>
        <w:tabs>
          <w:tab w:val="left" w:pos="4860"/>
          <w:tab w:val="left" w:pos="7020"/>
          <w:tab w:val="right" w:pos="9180"/>
        </w:tabs>
        <w:spacing w:after="0"/>
        <w:ind w:left="360"/>
        <w:rPr>
          <w:rFonts w:ascii="Garamond" w:eastAsia="Calibri" w:hAnsi="Garamond" w:cs="Leelawadee"/>
          <w:sz w:val="26"/>
          <w:szCs w:val="26"/>
          <w:lang w:val="en-US"/>
        </w:rPr>
      </w:pPr>
      <w:r w:rsidRPr="00CE07F7">
        <w:rPr>
          <w:rFonts w:ascii="Garamond" w:eastAsia="Calibri" w:hAnsi="Garamond" w:cs="Leelawadee"/>
          <w:sz w:val="26"/>
          <w:szCs w:val="26"/>
          <w:lang w:val="en-US"/>
        </w:rPr>
        <w:t>I</w:t>
      </w:r>
      <w:r>
        <w:rPr>
          <w:rFonts w:ascii="Garamond" w:eastAsia="Calibri" w:hAnsi="Garamond" w:cs="Leelawadee"/>
          <w:sz w:val="26"/>
          <w:szCs w:val="26"/>
          <w:lang w:val="en-US"/>
        </w:rPr>
        <w:t>nves</w:t>
      </w:r>
      <w:r w:rsidR="0042382F">
        <w:rPr>
          <w:rFonts w:ascii="Garamond" w:eastAsia="Calibri" w:hAnsi="Garamond" w:cs="Leelawadee"/>
          <w:sz w:val="26"/>
          <w:szCs w:val="26"/>
          <w:lang w:val="en-US"/>
        </w:rPr>
        <w:t>tment sought: seed funding of $</w:t>
      </w:r>
      <w:r w:rsidR="00713377">
        <w:rPr>
          <w:rFonts w:ascii="Garamond" w:eastAsia="Calibri" w:hAnsi="Garamond" w:cs="Leelawadee"/>
          <w:sz w:val="26"/>
          <w:szCs w:val="26"/>
          <w:lang w:val="en-US"/>
        </w:rPr>
        <w:t>5</w:t>
      </w:r>
      <w:r w:rsidR="00BC417C">
        <w:rPr>
          <w:rFonts w:ascii="Garamond" w:eastAsia="Calibri" w:hAnsi="Garamond" w:cs="Leelawadee"/>
          <w:sz w:val="26"/>
          <w:szCs w:val="26"/>
          <w:lang w:val="en-US"/>
        </w:rPr>
        <w:t>0</w:t>
      </w:r>
      <w:r>
        <w:rPr>
          <w:rFonts w:ascii="Garamond" w:eastAsia="Calibri" w:hAnsi="Garamond" w:cs="Leelawadee"/>
          <w:sz w:val="26"/>
          <w:szCs w:val="26"/>
          <w:lang w:val="en-US"/>
        </w:rPr>
        <w:t>0,000 for 6-</w:t>
      </w:r>
      <w:r w:rsidR="00713377">
        <w:rPr>
          <w:rFonts w:ascii="Garamond" w:eastAsia="Calibri" w:hAnsi="Garamond" w:cs="Leelawadee"/>
          <w:sz w:val="26"/>
          <w:szCs w:val="26"/>
          <w:lang w:val="en-US"/>
        </w:rPr>
        <w:t>9</w:t>
      </w:r>
      <w:r>
        <w:rPr>
          <w:rFonts w:ascii="Garamond" w:eastAsia="Calibri" w:hAnsi="Garamond" w:cs="Leelawadee"/>
          <w:sz w:val="26"/>
          <w:szCs w:val="26"/>
          <w:lang w:val="en-US"/>
        </w:rPr>
        <w:t xml:space="preserve"> months R&amp;D</w:t>
      </w:r>
    </w:p>
    <w:p w:rsidR="00FF7003" w:rsidRPr="00C210BB" w:rsidRDefault="009124F0" w:rsidP="009124F0">
      <w:pPr>
        <w:tabs>
          <w:tab w:val="left" w:pos="5940"/>
          <w:tab w:val="left" w:pos="7020"/>
          <w:tab w:val="right" w:pos="9180"/>
        </w:tabs>
        <w:spacing w:after="0"/>
        <w:ind w:left="360"/>
        <w:rPr>
          <w:rFonts w:ascii="Garamond" w:hAnsi="Garamond" w:cs="Leelawadee"/>
          <w:sz w:val="26"/>
          <w:szCs w:val="26"/>
          <w:lang w:val="en-US"/>
        </w:rPr>
      </w:pPr>
      <w:r w:rsidRPr="00CE07F7">
        <w:rPr>
          <w:rFonts w:ascii="Garamond" w:eastAsia="Calibri" w:hAnsi="Garamond" w:cs="Leelawadee"/>
          <w:sz w:val="26"/>
          <w:szCs w:val="26"/>
          <w:lang w:val="en-US"/>
        </w:rPr>
        <w:t>R&amp;D activity in Boulder, CO</w:t>
      </w:r>
    </w:p>
    <w:p w:rsidR="00520868" w:rsidRDefault="00520868" w:rsidP="008E398E">
      <w:pPr>
        <w:pStyle w:val="Heading1"/>
        <w:rPr>
          <w:b/>
          <w:color w:val="149346"/>
          <w:sz w:val="28"/>
          <w:szCs w:val="28"/>
          <w:lang w:val="en-US"/>
        </w:rPr>
      </w:pPr>
      <w:bookmarkStart w:id="1" w:name="_Toc403474316"/>
      <w:r w:rsidRPr="00034C1B">
        <w:rPr>
          <w:b/>
          <w:color w:val="149346"/>
          <w:sz w:val="28"/>
          <w:szCs w:val="28"/>
          <w:lang w:val="en-US"/>
        </w:rPr>
        <w:t>Section 1: PIARCS, PBC</w:t>
      </w:r>
      <w:bookmarkEnd w:id="1"/>
    </w:p>
    <w:p w:rsidR="008E398E" w:rsidRPr="008E398E" w:rsidRDefault="008E398E" w:rsidP="008E398E">
      <w:pPr>
        <w:rPr>
          <w:lang w:val="en-US"/>
        </w:rPr>
      </w:pPr>
    </w:p>
    <w:p w:rsidR="00520868" w:rsidRPr="00034C1B" w:rsidRDefault="00520868" w:rsidP="00520868">
      <w:pPr>
        <w:pStyle w:val="Heading2"/>
        <w:rPr>
          <w:b/>
          <w:lang w:val="en-US"/>
        </w:rPr>
      </w:pPr>
      <w:bookmarkStart w:id="2" w:name="_Toc403474317"/>
      <w:r w:rsidRPr="00034C1B">
        <w:rPr>
          <w:b/>
          <w:color w:val="149346"/>
          <w:lang w:val="en-US"/>
        </w:rPr>
        <w:t xml:space="preserve">A - </w:t>
      </w:r>
      <w:r w:rsidR="00F456D4">
        <w:rPr>
          <w:b/>
          <w:color w:val="149346"/>
          <w:lang w:val="en-US"/>
        </w:rPr>
        <w:t>Overview</w:t>
      </w:r>
      <w:r w:rsidRPr="00034C1B">
        <w:rPr>
          <w:b/>
          <w:color w:val="149346"/>
          <w:lang w:val="en-US"/>
        </w:rPr>
        <w:t xml:space="preserve"> of PIARCS</w:t>
      </w:r>
      <w:r w:rsidR="00D2016B">
        <w:rPr>
          <w:b/>
          <w:color w:val="149346"/>
          <w:lang w:val="en-US"/>
        </w:rPr>
        <w:t>, PBC</w:t>
      </w:r>
      <w:bookmarkEnd w:id="2"/>
    </w:p>
    <w:p w:rsidR="00520868" w:rsidRDefault="00520868" w:rsidP="00520868">
      <w:pPr>
        <w:spacing w:after="0"/>
        <w:rPr>
          <w:rFonts w:ascii="Garamond" w:hAnsi="Garamond"/>
          <w:sz w:val="24"/>
          <w:szCs w:val="24"/>
          <w:lang w:val="en-US"/>
        </w:rPr>
      </w:pPr>
    </w:p>
    <w:p w:rsidR="00034C1B" w:rsidRDefault="00034C1B" w:rsidP="00D2016B">
      <w:pPr>
        <w:spacing w:after="0"/>
        <w:ind w:left="360"/>
        <w:rPr>
          <w:rFonts w:ascii="Garamond" w:hAnsi="Garamond"/>
          <w:sz w:val="26"/>
          <w:szCs w:val="26"/>
          <w:u w:val="single"/>
          <w:lang w:val="en-US"/>
        </w:rPr>
      </w:pPr>
      <w:r w:rsidRPr="00F454BC">
        <w:rPr>
          <w:rFonts w:ascii="Garamond" w:hAnsi="Garamond" w:cs="Leelawadee"/>
          <w:b/>
          <w:sz w:val="26"/>
          <w:szCs w:val="26"/>
          <w:lang w:val="en-US"/>
        </w:rPr>
        <w:t>PIARCS primarily conducts R&amp;D and generates revenue through licensing</w:t>
      </w:r>
      <w:r>
        <w:rPr>
          <w:rFonts w:ascii="Garamond" w:hAnsi="Garamond" w:cs="Leelawadee"/>
          <w:sz w:val="26"/>
          <w:szCs w:val="26"/>
          <w:lang w:val="en-US"/>
        </w:rPr>
        <w:t xml:space="preserve">.  </w:t>
      </w:r>
      <w:r w:rsidR="008E398E">
        <w:rPr>
          <w:rFonts w:ascii="Garamond" w:hAnsi="Garamond"/>
          <w:sz w:val="26"/>
          <w:szCs w:val="26"/>
          <w:lang w:val="en-US"/>
        </w:rPr>
        <w:t>Leveraging t</w:t>
      </w:r>
      <w:r w:rsidRPr="00C210BB">
        <w:rPr>
          <w:rFonts w:ascii="Garamond" w:hAnsi="Garamond"/>
          <w:sz w:val="26"/>
          <w:szCs w:val="26"/>
          <w:lang w:val="en-US"/>
        </w:rPr>
        <w:t>he founder’s proprietary IP</w:t>
      </w:r>
      <w:r w:rsidR="008E398E">
        <w:rPr>
          <w:rFonts w:ascii="Garamond" w:hAnsi="Garamond"/>
          <w:sz w:val="26"/>
          <w:szCs w:val="26"/>
          <w:lang w:val="en-US"/>
        </w:rPr>
        <w:t>, which</w:t>
      </w:r>
      <w:r w:rsidRPr="00C210BB">
        <w:rPr>
          <w:rFonts w:ascii="Garamond" w:hAnsi="Garamond"/>
          <w:sz w:val="26"/>
          <w:szCs w:val="26"/>
          <w:lang w:val="en-US"/>
        </w:rPr>
        <w:t xml:space="preserve"> results from a 3-year personally funded suite of post-doctoral experiences as a guest in vario</w:t>
      </w:r>
      <w:r w:rsidR="008E398E">
        <w:rPr>
          <w:rFonts w:ascii="Garamond" w:hAnsi="Garamond"/>
          <w:sz w:val="26"/>
          <w:szCs w:val="26"/>
          <w:lang w:val="en-US"/>
        </w:rPr>
        <w:t>us international laboratories, P</w:t>
      </w:r>
      <w:r w:rsidR="008E398E" w:rsidRPr="00FF7A6C">
        <w:rPr>
          <w:rFonts w:ascii="Garamond" w:hAnsi="Garamond" w:cs="Leelawadee"/>
          <w:sz w:val="26"/>
          <w:szCs w:val="26"/>
          <w:lang w:val="en-US"/>
        </w:rPr>
        <w:t xml:space="preserve">IARCS offers revolutionary </w:t>
      </w:r>
      <w:r w:rsidR="00F456D4">
        <w:rPr>
          <w:rFonts w:ascii="Garamond" w:hAnsi="Garamond" w:cs="Leelawadee"/>
          <w:sz w:val="26"/>
          <w:szCs w:val="26"/>
          <w:lang w:val="en-US"/>
        </w:rPr>
        <w:t xml:space="preserve">IP </w:t>
      </w:r>
      <w:r w:rsidR="008E398E" w:rsidRPr="00FF7A6C">
        <w:rPr>
          <w:rFonts w:ascii="Garamond" w:hAnsi="Garamond" w:cs="Leelawadee"/>
          <w:sz w:val="26"/>
          <w:szCs w:val="26"/>
          <w:lang w:val="en-US"/>
        </w:rPr>
        <w:t>solutions to peak oil, peak phosphorus, water pollution and drinking water shortages</w:t>
      </w:r>
      <w:r w:rsidR="008E398E">
        <w:rPr>
          <w:rFonts w:ascii="Garamond" w:hAnsi="Garamond" w:cs="Leelawadee"/>
          <w:sz w:val="26"/>
          <w:szCs w:val="26"/>
          <w:lang w:val="en-US"/>
        </w:rPr>
        <w:t>.</w:t>
      </w:r>
    </w:p>
    <w:p w:rsidR="00034C1B" w:rsidRDefault="00034C1B" w:rsidP="00034C1B">
      <w:pPr>
        <w:spacing w:after="0"/>
        <w:jc w:val="center"/>
        <w:rPr>
          <w:rFonts w:ascii="Garamond" w:hAnsi="Garamond"/>
          <w:sz w:val="26"/>
          <w:szCs w:val="26"/>
          <w:u w:val="single"/>
          <w:lang w:val="en-US"/>
        </w:rPr>
      </w:pPr>
      <w:r>
        <w:rPr>
          <w:rFonts w:ascii="Garamond" w:hAnsi="Garamond" w:cs="Leelawadee"/>
          <w:noProof/>
          <w:sz w:val="26"/>
          <w:szCs w:val="26"/>
          <w:lang w:val="en-US"/>
        </w:rPr>
        <w:drawing>
          <wp:inline distT="0" distB="0" distL="0" distR="0" wp14:anchorId="29AA9371" wp14:editId="0FE71FA2">
            <wp:extent cx="5027295" cy="1629697"/>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2503"/>
                    <a:stretch/>
                  </pic:blipFill>
                  <pic:spPr bwMode="auto">
                    <a:xfrm>
                      <a:off x="0" y="0"/>
                      <a:ext cx="5029200" cy="1630315"/>
                    </a:xfrm>
                    <a:prstGeom prst="rect">
                      <a:avLst/>
                    </a:prstGeom>
                    <a:noFill/>
                    <a:ln>
                      <a:noFill/>
                    </a:ln>
                    <a:extLst>
                      <a:ext uri="{53640926-AAD7-44D8-BBD7-CCE9431645EC}">
                        <a14:shadowObscured xmlns:a14="http://schemas.microsoft.com/office/drawing/2010/main"/>
                      </a:ext>
                    </a:extLst>
                  </pic:spPr>
                </pic:pic>
              </a:graphicData>
            </a:graphic>
          </wp:inline>
        </w:drawing>
      </w:r>
    </w:p>
    <w:p w:rsidR="00034C1B" w:rsidRDefault="00034C1B" w:rsidP="00520868">
      <w:pPr>
        <w:spacing w:after="0"/>
        <w:rPr>
          <w:rFonts w:ascii="Garamond" w:hAnsi="Garamond"/>
          <w:sz w:val="26"/>
          <w:szCs w:val="26"/>
          <w:lang w:val="en-US"/>
        </w:rPr>
      </w:pPr>
    </w:p>
    <w:p w:rsidR="00D2016B" w:rsidRPr="00FF7A6C" w:rsidRDefault="00D2016B" w:rsidP="00D2016B">
      <w:pPr>
        <w:spacing w:after="0"/>
        <w:ind w:firstLine="360"/>
        <w:rPr>
          <w:rFonts w:ascii="Garamond" w:hAnsi="Garamond" w:cs="Leelawadee"/>
          <w:sz w:val="26"/>
          <w:szCs w:val="26"/>
          <w:lang w:val="en-US"/>
        </w:rPr>
      </w:pPr>
      <w:r w:rsidRPr="00D2016B">
        <w:rPr>
          <w:rFonts w:ascii="Garamond" w:hAnsi="Garamond" w:cs="Leelawadee"/>
          <w:b/>
          <w:sz w:val="26"/>
          <w:szCs w:val="26"/>
          <w:lang w:val="en-US"/>
        </w:rPr>
        <w:t>PIARCS’ near term customer base comprises</w:t>
      </w:r>
      <w:r w:rsidRPr="00FF7A6C">
        <w:rPr>
          <w:rFonts w:ascii="Garamond" w:hAnsi="Garamond" w:cs="Leelawadee"/>
          <w:sz w:val="26"/>
          <w:szCs w:val="26"/>
          <w:lang w:val="en-US"/>
        </w:rPr>
        <w:t>:</w:t>
      </w:r>
    </w:p>
    <w:p w:rsidR="00D2016B" w:rsidRPr="00FF7A6C" w:rsidRDefault="00D2016B" w:rsidP="00D2016B">
      <w:pPr>
        <w:pStyle w:val="ListParagraph"/>
        <w:numPr>
          <w:ilvl w:val="0"/>
          <w:numId w:val="1"/>
        </w:numPr>
        <w:spacing w:after="0"/>
        <w:rPr>
          <w:rFonts w:ascii="Garamond" w:hAnsi="Garamond" w:cs="Leelawadee"/>
          <w:sz w:val="26"/>
          <w:szCs w:val="26"/>
          <w:lang w:val="en-US"/>
        </w:rPr>
      </w:pPr>
      <w:r w:rsidRPr="00FF7A6C">
        <w:rPr>
          <w:rFonts w:ascii="Garamond" w:hAnsi="Garamond" w:cs="Leelawadee"/>
          <w:sz w:val="26"/>
          <w:szCs w:val="26"/>
          <w:lang w:val="en-US"/>
        </w:rPr>
        <w:t xml:space="preserve">companies </w:t>
      </w:r>
      <w:r w:rsidRPr="00877549">
        <w:rPr>
          <w:rFonts w:ascii="Garamond" w:hAnsi="Garamond" w:cs="Leelawadee"/>
          <w:color w:val="149346"/>
          <w:sz w:val="26"/>
          <w:szCs w:val="26"/>
          <w:lang w:val="en-US"/>
        </w:rPr>
        <w:t>undertaking</w:t>
      </w:r>
      <w:r w:rsidRPr="00FF7A6C">
        <w:rPr>
          <w:rFonts w:ascii="Garamond" w:hAnsi="Garamond" w:cs="Leelawadee"/>
          <w:sz w:val="26"/>
          <w:szCs w:val="26"/>
          <w:lang w:val="en-US"/>
        </w:rPr>
        <w:t xml:space="preserve"> large-scale algal biomass/biofuel production</w:t>
      </w:r>
    </w:p>
    <w:p w:rsidR="00D2016B" w:rsidRDefault="00D2016B" w:rsidP="00D2016B">
      <w:pPr>
        <w:pStyle w:val="ListParagraph"/>
        <w:numPr>
          <w:ilvl w:val="0"/>
          <w:numId w:val="1"/>
        </w:numPr>
        <w:spacing w:after="0"/>
        <w:rPr>
          <w:rFonts w:ascii="Garamond" w:hAnsi="Garamond" w:cs="Leelawadee"/>
          <w:sz w:val="26"/>
          <w:szCs w:val="26"/>
          <w:lang w:val="en-US"/>
        </w:rPr>
      </w:pPr>
      <w:r w:rsidRPr="00FF7A6C">
        <w:rPr>
          <w:rFonts w:ascii="Garamond" w:hAnsi="Garamond" w:cs="Leelawadee"/>
          <w:sz w:val="26"/>
          <w:szCs w:val="26"/>
          <w:lang w:val="en-US"/>
        </w:rPr>
        <w:t>wastewater cleanup facilities (stringent EPA standards effective by 2022</w:t>
      </w:r>
      <w:r>
        <w:rPr>
          <w:rFonts w:ascii="Garamond" w:hAnsi="Garamond" w:cs="Leelawadee"/>
          <w:sz w:val="26"/>
          <w:szCs w:val="26"/>
          <w:lang w:val="en-US"/>
        </w:rPr>
        <w:t>-2031</w:t>
      </w:r>
      <w:r w:rsidRPr="00FF7A6C">
        <w:rPr>
          <w:rFonts w:ascii="Garamond" w:hAnsi="Garamond" w:cs="Leelawadee"/>
          <w:sz w:val="26"/>
          <w:szCs w:val="26"/>
          <w:lang w:val="en-US"/>
        </w:rPr>
        <w:t>)</w:t>
      </w:r>
    </w:p>
    <w:p w:rsidR="00D2016B" w:rsidRPr="005439AB" w:rsidRDefault="00D2016B" w:rsidP="00D2016B">
      <w:pPr>
        <w:pStyle w:val="ListParagraph"/>
        <w:numPr>
          <w:ilvl w:val="0"/>
          <w:numId w:val="1"/>
        </w:numPr>
        <w:spacing w:after="0"/>
        <w:rPr>
          <w:rFonts w:ascii="Garamond" w:hAnsi="Garamond" w:cs="Leelawadee"/>
          <w:sz w:val="26"/>
          <w:szCs w:val="26"/>
          <w:lang w:val="en-US"/>
        </w:rPr>
      </w:pPr>
      <w:r w:rsidRPr="005439AB">
        <w:rPr>
          <w:rFonts w:ascii="Garamond" w:hAnsi="Garamond" w:cs="Leelawadee"/>
          <w:sz w:val="26"/>
          <w:szCs w:val="26"/>
          <w:lang w:val="en-US"/>
        </w:rPr>
        <w:t>fertilizer suppliers</w:t>
      </w:r>
    </w:p>
    <w:p w:rsidR="00D2016B" w:rsidRDefault="00D2016B" w:rsidP="00D2016B">
      <w:pPr>
        <w:spacing w:after="0"/>
        <w:ind w:left="360"/>
        <w:rPr>
          <w:rFonts w:ascii="Garamond" w:hAnsi="Garamond" w:cs="Leelawadee"/>
          <w:sz w:val="26"/>
          <w:szCs w:val="26"/>
          <w:lang w:val="en-US"/>
        </w:rPr>
      </w:pPr>
      <w:r w:rsidRPr="005C4C3A">
        <w:rPr>
          <w:rFonts w:ascii="Garamond" w:hAnsi="Garamond" w:cs="Leelawadee"/>
          <w:sz w:val="26"/>
          <w:szCs w:val="26"/>
          <w:lang w:val="en-US"/>
        </w:rPr>
        <w:t>By broadly li</w:t>
      </w:r>
      <w:r>
        <w:rPr>
          <w:rFonts w:ascii="Garamond" w:hAnsi="Garamond" w:cs="Leelawadee"/>
          <w:sz w:val="26"/>
          <w:szCs w:val="26"/>
          <w:lang w:val="en-US"/>
        </w:rPr>
        <w:t>censing its IP portfolio</w:t>
      </w:r>
      <w:r w:rsidRPr="005C4C3A">
        <w:rPr>
          <w:rFonts w:ascii="Garamond" w:hAnsi="Garamond" w:cs="Leelawadee"/>
          <w:sz w:val="26"/>
          <w:szCs w:val="26"/>
          <w:lang w:val="en-US"/>
        </w:rPr>
        <w:t>, and developing technical resources at no additional cost, PIARCS enables the parallel implementation of these sustainable technologies by a multitude of entrepreneurs wo</w:t>
      </w:r>
      <w:r>
        <w:rPr>
          <w:rFonts w:ascii="Garamond" w:hAnsi="Garamond" w:cs="Leelawadee"/>
          <w:sz w:val="26"/>
          <w:szCs w:val="26"/>
          <w:lang w:val="en-US"/>
        </w:rPr>
        <w:t>rldwide</w:t>
      </w:r>
      <w:r w:rsidRPr="005C4C3A">
        <w:rPr>
          <w:rFonts w:ascii="Garamond" w:hAnsi="Garamond" w:cs="Leelawadee"/>
          <w:sz w:val="26"/>
          <w:szCs w:val="26"/>
          <w:lang w:val="en-US"/>
        </w:rPr>
        <w:t>.  In addition, PIARCS intends to establish mutually beneficial interactions with the CleanTech industry by highlighting the performance of complementary technologies (wind turbines, solar cells…) and licensing its IP to existing integrated solution pro</w:t>
      </w:r>
      <w:r>
        <w:rPr>
          <w:rFonts w:ascii="Garamond" w:hAnsi="Garamond" w:cs="Leelawadee"/>
          <w:sz w:val="26"/>
          <w:szCs w:val="26"/>
          <w:lang w:val="en-US"/>
        </w:rPr>
        <w:t>viders (wastewater treatment…).</w:t>
      </w:r>
    </w:p>
    <w:p w:rsidR="008E398E" w:rsidRDefault="008E398E" w:rsidP="00D2016B">
      <w:pPr>
        <w:spacing w:after="0"/>
        <w:ind w:left="360"/>
        <w:rPr>
          <w:rFonts w:ascii="Garamond" w:hAnsi="Garamond" w:cs="Leelawadee"/>
          <w:sz w:val="26"/>
          <w:szCs w:val="26"/>
          <w:lang w:val="en-US"/>
        </w:rPr>
      </w:pPr>
    </w:p>
    <w:p w:rsidR="008E398E" w:rsidRDefault="008E398E" w:rsidP="008E398E">
      <w:pPr>
        <w:spacing w:after="0"/>
        <w:ind w:left="360"/>
        <w:rPr>
          <w:rFonts w:ascii="Garamond" w:hAnsi="Garamond"/>
          <w:sz w:val="26"/>
          <w:szCs w:val="26"/>
          <w:lang w:val="en-US"/>
        </w:rPr>
      </w:pPr>
      <w:r w:rsidRPr="00D2016B">
        <w:rPr>
          <w:rFonts w:ascii="Garamond" w:hAnsi="Garamond"/>
          <w:b/>
          <w:sz w:val="26"/>
          <w:szCs w:val="26"/>
          <w:lang w:val="en-US"/>
        </w:rPr>
        <w:t>PIARCS was founded as a Delaware Public Benefit Corporation</w:t>
      </w:r>
      <w:r>
        <w:rPr>
          <w:rFonts w:ascii="Garamond" w:hAnsi="Garamond"/>
          <w:sz w:val="26"/>
          <w:szCs w:val="26"/>
          <w:lang w:val="en-US"/>
        </w:rPr>
        <w:t xml:space="preserve"> in March 2014 to promote environmental sustainability.</w:t>
      </w:r>
      <w:r>
        <w:rPr>
          <w:rFonts w:ascii="Garamond" w:hAnsi="Garamond" w:cs="Leelawadee"/>
          <w:sz w:val="26"/>
          <w:szCs w:val="26"/>
          <w:lang w:val="en-US"/>
        </w:rPr>
        <w:t xml:space="preserve">  </w:t>
      </w:r>
      <w:r w:rsidRPr="000E7D6A">
        <w:rPr>
          <w:rFonts w:ascii="Garamond" w:hAnsi="Garamond" w:cs="Leelawadee"/>
          <w:sz w:val="26"/>
          <w:szCs w:val="26"/>
          <w:lang w:val="en-US"/>
        </w:rPr>
        <w:t>PIARCS seeks to attract global vision investors</w:t>
      </w:r>
      <w:r w:rsidR="00B2132F">
        <w:rPr>
          <w:rFonts w:ascii="Garamond" w:hAnsi="Garamond"/>
          <w:sz w:val="26"/>
          <w:szCs w:val="26"/>
          <w:lang w:val="en-US"/>
        </w:rPr>
        <w:t xml:space="preserve"> to provide the seed funding of $ </w:t>
      </w:r>
      <w:r w:rsidR="00713377">
        <w:rPr>
          <w:rFonts w:ascii="Garamond" w:hAnsi="Garamond"/>
          <w:sz w:val="26"/>
          <w:szCs w:val="26"/>
          <w:lang w:val="en-US"/>
        </w:rPr>
        <w:t>5</w:t>
      </w:r>
      <w:r w:rsidR="0040428E">
        <w:rPr>
          <w:rFonts w:ascii="Garamond" w:hAnsi="Garamond"/>
          <w:sz w:val="26"/>
          <w:szCs w:val="26"/>
          <w:lang w:val="en-US"/>
        </w:rPr>
        <w:t>0</w:t>
      </w:r>
      <w:r w:rsidR="00B2132F">
        <w:rPr>
          <w:rFonts w:ascii="Garamond" w:hAnsi="Garamond"/>
          <w:sz w:val="26"/>
          <w:szCs w:val="26"/>
          <w:lang w:val="en-US"/>
        </w:rPr>
        <w:t>0,000 M/6</w:t>
      </w:r>
      <w:r w:rsidR="00713377">
        <w:rPr>
          <w:rFonts w:ascii="Garamond" w:hAnsi="Garamond"/>
          <w:sz w:val="26"/>
          <w:szCs w:val="26"/>
          <w:lang w:val="en-US"/>
        </w:rPr>
        <w:t>-9</w:t>
      </w:r>
      <w:r w:rsidR="00B2132F">
        <w:rPr>
          <w:rFonts w:ascii="Garamond" w:hAnsi="Garamond"/>
          <w:sz w:val="26"/>
          <w:szCs w:val="26"/>
          <w:lang w:val="en-US"/>
        </w:rPr>
        <w:t xml:space="preserve"> months R&amp;D</w:t>
      </w:r>
      <w:r w:rsidRPr="00C210BB">
        <w:rPr>
          <w:rFonts w:ascii="Garamond" w:hAnsi="Garamond"/>
          <w:sz w:val="26"/>
          <w:szCs w:val="26"/>
          <w:lang w:val="en-US"/>
        </w:rPr>
        <w:t xml:space="preserve">, with </w:t>
      </w:r>
      <w:r>
        <w:rPr>
          <w:rFonts w:ascii="Garamond" w:hAnsi="Garamond"/>
          <w:sz w:val="26"/>
          <w:szCs w:val="26"/>
          <w:lang w:val="en-US"/>
        </w:rPr>
        <w:t>a preferred</w:t>
      </w:r>
      <w:r w:rsidRPr="00C210BB">
        <w:rPr>
          <w:rFonts w:ascii="Garamond" w:hAnsi="Garamond"/>
          <w:sz w:val="26"/>
          <w:szCs w:val="26"/>
          <w:lang w:val="en-US"/>
        </w:rPr>
        <w:t xml:space="preserve"> </w:t>
      </w:r>
      <w:r>
        <w:rPr>
          <w:rFonts w:ascii="Garamond" w:hAnsi="Garamond"/>
          <w:sz w:val="26"/>
          <w:szCs w:val="26"/>
          <w:lang w:val="en-US"/>
        </w:rPr>
        <w:t xml:space="preserve">minority equity </w:t>
      </w:r>
      <w:r w:rsidRPr="00C210BB">
        <w:rPr>
          <w:rFonts w:ascii="Garamond" w:hAnsi="Garamond"/>
          <w:sz w:val="26"/>
          <w:szCs w:val="26"/>
          <w:lang w:val="en-US"/>
        </w:rPr>
        <w:t xml:space="preserve">investment structure involving annual dividend returns once the company enters its licensing phase.  </w:t>
      </w:r>
    </w:p>
    <w:p w:rsidR="004152C7" w:rsidRPr="00034C1B" w:rsidRDefault="004152C7" w:rsidP="004152C7">
      <w:pPr>
        <w:pStyle w:val="Heading2"/>
        <w:rPr>
          <w:b/>
          <w:lang w:val="en-US"/>
        </w:rPr>
      </w:pPr>
      <w:bookmarkStart w:id="3" w:name="_Toc403474318"/>
      <w:r>
        <w:rPr>
          <w:b/>
          <w:color w:val="149346"/>
          <w:lang w:val="en-US"/>
        </w:rPr>
        <w:t>B</w:t>
      </w:r>
      <w:r w:rsidRPr="00034C1B">
        <w:rPr>
          <w:b/>
          <w:color w:val="149346"/>
          <w:lang w:val="en-US"/>
        </w:rPr>
        <w:t xml:space="preserve"> </w:t>
      </w:r>
      <w:r>
        <w:rPr>
          <w:b/>
          <w:color w:val="149346"/>
          <w:lang w:val="en-US"/>
        </w:rPr>
        <w:t>–</w:t>
      </w:r>
      <w:r w:rsidRPr="00034C1B">
        <w:rPr>
          <w:b/>
          <w:color w:val="149346"/>
          <w:lang w:val="en-US"/>
        </w:rPr>
        <w:t xml:space="preserve"> </w:t>
      </w:r>
      <w:r w:rsidR="00D538A2">
        <w:rPr>
          <w:b/>
          <w:color w:val="149346"/>
          <w:lang w:val="en-US"/>
        </w:rPr>
        <w:t xml:space="preserve">Business strategy: </w:t>
      </w:r>
      <w:r w:rsidR="00024075">
        <w:rPr>
          <w:b/>
          <w:color w:val="149346"/>
          <w:lang w:val="en-US"/>
        </w:rPr>
        <w:t xml:space="preserve">Broad licensing of </w:t>
      </w:r>
      <w:r>
        <w:rPr>
          <w:b/>
          <w:color w:val="149346"/>
          <w:lang w:val="en-US"/>
        </w:rPr>
        <w:t>PIARCS’</w:t>
      </w:r>
      <w:r w:rsidR="00237EAA">
        <w:rPr>
          <w:b/>
          <w:color w:val="149346"/>
          <w:lang w:val="en-US"/>
        </w:rPr>
        <w:t xml:space="preserve"> enabling</w:t>
      </w:r>
      <w:r>
        <w:rPr>
          <w:b/>
          <w:color w:val="149346"/>
          <w:lang w:val="en-US"/>
        </w:rPr>
        <w:t xml:space="preserve"> IP</w:t>
      </w:r>
      <w:bookmarkEnd w:id="3"/>
      <w:r w:rsidR="00CE291F">
        <w:rPr>
          <w:b/>
          <w:color w:val="149346"/>
          <w:lang w:val="en-US"/>
        </w:rPr>
        <w:t xml:space="preserve"> </w:t>
      </w:r>
    </w:p>
    <w:p w:rsidR="004152C7" w:rsidRDefault="004152C7" w:rsidP="008E398E">
      <w:pPr>
        <w:spacing w:after="0"/>
        <w:ind w:left="360"/>
        <w:rPr>
          <w:rFonts w:ascii="Garamond" w:hAnsi="Garamond"/>
          <w:sz w:val="26"/>
          <w:szCs w:val="26"/>
          <w:lang w:val="en-US"/>
        </w:rPr>
      </w:pPr>
    </w:p>
    <w:p w:rsidR="002071C3" w:rsidRPr="00FF7A6C" w:rsidRDefault="002071C3" w:rsidP="002071C3">
      <w:pPr>
        <w:tabs>
          <w:tab w:val="left" w:pos="9180"/>
        </w:tabs>
        <w:spacing w:after="0"/>
        <w:ind w:left="360" w:right="180"/>
        <w:rPr>
          <w:rFonts w:ascii="Garamond" w:hAnsi="Garamond" w:cs="Leelawadee"/>
          <w:sz w:val="26"/>
          <w:szCs w:val="26"/>
          <w:lang w:val="en-US"/>
        </w:rPr>
      </w:pPr>
      <w:r w:rsidRPr="00FF7A6C">
        <w:rPr>
          <w:rFonts w:ascii="Garamond" w:hAnsi="Garamond" w:cs="Leelawadee"/>
          <w:sz w:val="26"/>
          <w:szCs w:val="26"/>
          <w:lang w:val="en-US"/>
        </w:rPr>
        <w:t>PIARCS offers revolutionary solutio</w:t>
      </w:r>
      <w:r w:rsidR="00E70D98">
        <w:rPr>
          <w:rFonts w:ascii="Garamond" w:hAnsi="Garamond" w:cs="Leelawadee"/>
          <w:sz w:val="26"/>
          <w:szCs w:val="26"/>
          <w:lang w:val="en-US"/>
        </w:rPr>
        <w:t>ns to peak oil, peak phosphorus and</w:t>
      </w:r>
      <w:r w:rsidRPr="00FF7A6C">
        <w:rPr>
          <w:rFonts w:ascii="Garamond" w:hAnsi="Garamond" w:cs="Leelawadee"/>
          <w:sz w:val="26"/>
          <w:szCs w:val="26"/>
          <w:lang w:val="en-US"/>
        </w:rPr>
        <w:t xml:space="preserve"> water polluti</w:t>
      </w:r>
      <w:r w:rsidR="00390F30">
        <w:rPr>
          <w:rFonts w:ascii="Garamond" w:hAnsi="Garamond" w:cs="Leelawadee"/>
          <w:sz w:val="26"/>
          <w:szCs w:val="26"/>
          <w:lang w:val="en-US"/>
        </w:rPr>
        <w:t>on</w:t>
      </w:r>
      <w:r w:rsidR="00E70D98">
        <w:rPr>
          <w:rFonts w:ascii="Garamond" w:hAnsi="Garamond" w:cs="Leelawadee"/>
          <w:sz w:val="26"/>
          <w:szCs w:val="26"/>
          <w:lang w:val="en-US"/>
        </w:rPr>
        <w:t xml:space="preserve">.  </w:t>
      </w:r>
      <w:r w:rsidR="00390F30" w:rsidRPr="00390F30">
        <w:rPr>
          <w:rFonts w:ascii="Garamond" w:hAnsi="Garamond" w:cs="Leelawadee"/>
          <w:sz w:val="26"/>
          <w:szCs w:val="26"/>
          <w:lang w:val="en-US"/>
        </w:rPr>
        <w:t xml:space="preserve">In the near term, PIARCS’ </w:t>
      </w:r>
      <w:r w:rsidR="00390F30">
        <w:rPr>
          <w:rFonts w:ascii="Garamond" w:hAnsi="Garamond" w:cs="Leelawadee"/>
          <w:sz w:val="26"/>
          <w:szCs w:val="26"/>
          <w:lang w:val="en-US"/>
        </w:rPr>
        <w:t xml:space="preserve">two </w:t>
      </w:r>
      <w:r w:rsidR="00237EAA">
        <w:rPr>
          <w:rFonts w:ascii="Garamond" w:hAnsi="Garamond" w:cs="Leelawadee"/>
          <w:sz w:val="26"/>
          <w:szCs w:val="26"/>
          <w:lang w:val="en-US"/>
        </w:rPr>
        <w:t>independent IP areas</w:t>
      </w:r>
      <w:r w:rsidR="00390F30" w:rsidRPr="00390F30">
        <w:rPr>
          <w:rFonts w:ascii="Garamond" w:hAnsi="Garamond" w:cs="Leelawadee"/>
          <w:sz w:val="26"/>
          <w:szCs w:val="26"/>
          <w:lang w:val="en-US"/>
        </w:rPr>
        <w:t xml:space="preserve"> will validate:</w:t>
      </w:r>
    </w:p>
    <w:p w:rsidR="002071C3" w:rsidRPr="00FF7A6C" w:rsidRDefault="002071C3" w:rsidP="002071C3">
      <w:pPr>
        <w:pStyle w:val="ListParagraph"/>
        <w:numPr>
          <w:ilvl w:val="0"/>
          <w:numId w:val="1"/>
        </w:numPr>
        <w:tabs>
          <w:tab w:val="left" w:pos="9180"/>
        </w:tabs>
        <w:spacing w:after="0"/>
        <w:ind w:right="180"/>
        <w:rPr>
          <w:rFonts w:ascii="Garamond" w:hAnsi="Garamond" w:cs="Leelawadee"/>
          <w:sz w:val="26"/>
          <w:szCs w:val="26"/>
          <w:lang w:val="en-US"/>
        </w:rPr>
      </w:pPr>
      <w:r w:rsidRPr="00F454BC">
        <w:rPr>
          <w:rFonts w:ascii="Garamond" w:hAnsi="Garamond" w:cs="Leelawadee"/>
          <w:b/>
          <w:sz w:val="26"/>
          <w:szCs w:val="26"/>
          <w:lang w:val="en-US"/>
        </w:rPr>
        <w:t>Novel bioreactor designs: algae-based biodiesel prices under $ 3/gallon</w:t>
      </w:r>
      <w:r>
        <w:rPr>
          <w:rFonts w:ascii="Garamond" w:hAnsi="Garamond" w:cs="Leelawadee"/>
          <w:b/>
          <w:sz w:val="26"/>
          <w:szCs w:val="26"/>
          <w:lang w:val="en-US"/>
        </w:rPr>
        <w:t xml:space="preserve"> and an inexpensive </w:t>
      </w:r>
      <w:r w:rsidR="00FA480A">
        <w:rPr>
          <w:rFonts w:ascii="Garamond" w:hAnsi="Garamond" w:cs="Leelawadee"/>
          <w:b/>
          <w:sz w:val="26"/>
          <w:szCs w:val="26"/>
          <w:lang w:val="en-US"/>
        </w:rPr>
        <w:t>biomass</w:t>
      </w:r>
      <w:r>
        <w:rPr>
          <w:rFonts w:ascii="Garamond" w:hAnsi="Garamond" w:cs="Leelawadee"/>
          <w:b/>
          <w:sz w:val="26"/>
          <w:szCs w:val="26"/>
          <w:lang w:val="en-US"/>
        </w:rPr>
        <w:t xml:space="preserve"> feedstock</w:t>
      </w:r>
      <w:r>
        <w:rPr>
          <w:rFonts w:ascii="Garamond" w:hAnsi="Garamond" w:cs="Leelawadee"/>
          <w:sz w:val="26"/>
          <w:szCs w:val="26"/>
          <w:lang w:val="en-US"/>
        </w:rPr>
        <w:t>.  The productivity maximization strategy under high outdoor light stems from the founder’s Chemical Engineering approach, and allows to establish a simple descriptive biomass production model – lacking in the field to-date.  Such controversial model (P=Φ·I) allows for the continuous production of lipids (biofuel) as well as nutrients-free effluents.</w:t>
      </w:r>
    </w:p>
    <w:p w:rsidR="002071C3" w:rsidRDefault="002071C3" w:rsidP="002071C3">
      <w:pPr>
        <w:pStyle w:val="ListParagraph"/>
        <w:numPr>
          <w:ilvl w:val="0"/>
          <w:numId w:val="3"/>
        </w:numPr>
        <w:spacing w:after="0"/>
        <w:rPr>
          <w:rFonts w:ascii="Garamond" w:hAnsi="Garamond"/>
          <w:sz w:val="24"/>
          <w:szCs w:val="24"/>
          <w:lang w:val="en-US"/>
        </w:rPr>
      </w:pPr>
      <w:r w:rsidRPr="00F454BC">
        <w:rPr>
          <w:rFonts w:ascii="Garamond" w:hAnsi="Garamond" w:cs="Leelawadee"/>
          <w:b/>
          <w:sz w:val="26"/>
          <w:szCs w:val="26"/>
          <w:lang w:val="en-US"/>
        </w:rPr>
        <w:t>1-step biological method: high loading and complete removal of phosphate from wastewater</w:t>
      </w:r>
      <w:r>
        <w:rPr>
          <w:rFonts w:ascii="Garamond" w:hAnsi="Garamond" w:cs="Leelawadee"/>
          <w:sz w:val="26"/>
          <w:szCs w:val="26"/>
          <w:lang w:val="en-US"/>
        </w:rPr>
        <w:t xml:space="preserve">.  </w:t>
      </w:r>
      <w:r w:rsidRPr="00CE291F">
        <w:rPr>
          <w:rFonts w:ascii="Garamond" w:hAnsi="Garamond"/>
          <w:sz w:val="26"/>
          <w:szCs w:val="26"/>
          <w:lang w:val="en-US"/>
        </w:rPr>
        <w:t>The easily extractable phosphorous (P) content from the dried biomass (9-17%) compares with the 11-16% P in commercial phosphate rocks (BPL 60-80), which currently provide a primary yet limited global fertilizer resource.  The final dissolved inorganic phosphat</w:t>
      </w:r>
      <w:r w:rsidR="00702F60">
        <w:rPr>
          <w:rFonts w:ascii="Garamond" w:hAnsi="Garamond"/>
          <w:sz w:val="26"/>
          <w:szCs w:val="26"/>
          <w:lang w:val="en-US"/>
        </w:rPr>
        <w:t>e levels (&lt; 30 µg P/L) meet upcoming stringent phosphorus regulations</w:t>
      </w:r>
      <w:r w:rsidRPr="00CE291F">
        <w:rPr>
          <w:rFonts w:ascii="Garamond" w:hAnsi="Garamond"/>
          <w:sz w:val="26"/>
          <w:szCs w:val="26"/>
          <w:lang w:val="en-US"/>
        </w:rPr>
        <w:t>.</w:t>
      </w:r>
      <w:r>
        <w:rPr>
          <w:rFonts w:ascii="Garamond" w:hAnsi="Garamond"/>
          <w:sz w:val="24"/>
          <w:szCs w:val="24"/>
          <w:lang w:val="en-US"/>
        </w:rPr>
        <w:t xml:space="preserve">  </w:t>
      </w:r>
    </w:p>
    <w:p w:rsidR="00390F30" w:rsidRPr="00390F30" w:rsidRDefault="00390F30" w:rsidP="00390F30">
      <w:pPr>
        <w:spacing w:after="0"/>
        <w:ind w:left="360"/>
        <w:rPr>
          <w:rFonts w:ascii="Garamond" w:hAnsi="Garamond"/>
          <w:sz w:val="24"/>
          <w:szCs w:val="24"/>
          <w:lang w:val="en-US"/>
        </w:rPr>
      </w:pPr>
      <w:r w:rsidRPr="00C210BB">
        <w:rPr>
          <w:rFonts w:ascii="Garamond" w:hAnsi="Garamond"/>
          <w:sz w:val="26"/>
          <w:szCs w:val="26"/>
          <w:lang w:val="en-US"/>
        </w:rPr>
        <w:t xml:space="preserve">In the medium term, process integration of these two R&amp;D foci will lead to the </w:t>
      </w:r>
      <w:r w:rsidRPr="007D55BB">
        <w:rPr>
          <w:rFonts w:ascii="Garamond" w:hAnsi="Garamond"/>
          <w:b/>
          <w:sz w:val="26"/>
          <w:szCs w:val="26"/>
          <w:lang w:val="en-US"/>
        </w:rPr>
        <w:t>production of drinking quality water from wastewater</w:t>
      </w:r>
      <w:r w:rsidRPr="00C210BB">
        <w:rPr>
          <w:rFonts w:ascii="Garamond" w:hAnsi="Garamond"/>
          <w:sz w:val="26"/>
          <w:szCs w:val="26"/>
          <w:lang w:val="en-US"/>
        </w:rPr>
        <w:t xml:space="preserve"> or polluted water streams.</w:t>
      </w:r>
    </w:p>
    <w:p w:rsidR="002071C3" w:rsidRDefault="00E41E95" w:rsidP="00CE291F">
      <w:pPr>
        <w:spacing w:after="0"/>
        <w:jc w:val="center"/>
        <w:rPr>
          <w:rFonts w:ascii="Garamond" w:hAnsi="Garamond"/>
          <w:sz w:val="26"/>
          <w:szCs w:val="26"/>
          <w:u w:val="single"/>
          <w:lang w:val="en-US"/>
        </w:rPr>
      </w:pPr>
      <w:r>
        <w:rPr>
          <w:rFonts w:ascii="Garamond" w:hAnsi="Garamond"/>
          <w:noProof/>
          <w:sz w:val="26"/>
          <w:szCs w:val="26"/>
          <w:u w:val="single"/>
          <w:lang w:val="en-US"/>
        </w:rPr>
        <w:drawing>
          <wp:inline distT="0" distB="0" distL="0" distR="0" wp14:anchorId="48887C85">
            <wp:extent cx="5029200" cy="2945325"/>
            <wp:effectExtent l="0" t="0" r="0"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2945325"/>
                    </a:xfrm>
                    <a:prstGeom prst="rect">
                      <a:avLst/>
                    </a:prstGeom>
                    <a:noFill/>
                  </pic:spPr>
                </pic:pic>
              </a:graphicData>
            </a:graphic>
          </wp:inline>
        </w:drawing>
      </w:r>
    </w:p>
    <w:p w:rsidR="002071C3" w:rsidRPr="00237EAA" w:rsidRDefault="002071C3" w:rsidP="00520868">
      <w:pPr>
        <w:spacing w:after="0"/>
        <w:rPr>
          <w:rFonts w:ascii="Garamond" w:hAnsi="Garamond"/>
          <w:sz w:val="16"/>
          <w:szCs w:val="16"/>
          <w:u w:val="single"/>
          <w:lang w:val="en-US"/>
        </w:rPr>
      </w:pPr>
    </w:p>
    <w:p w:rsidR="00CE291F" w:rsidRDefault="00B15F8E" w:rsidP="00834751">
      <w:pPr>
        <w:spacing w:after="0"/>
        <w:ind w:left="360"/>
        <w:rPr>
          <w:rFonts w:ascii="Garamond" w:hAnsi="Garamond"/>
          <w:sz w:val="26"/>
          <w:szCs w:val="26"/>
          <w:lang w:val="en-US"/>
        </w:rPr>
      </w:pPr>
      <w:r w:rsidRPr="00237EAA">
        <w:rPr>
          <w:rFonts w:ascii="Garamond" w:hAnsi="Garamond"/>
          <w:b/>
          <w:sz w:val="26"/>
          <w:szCs w:val="26"/>
          <w:lang w:val="en-US"/>
        </w:rPr>
        <w:t>PIARCS licensing rates will be designed</w:t>
      </w:r>
      <w:r w:rsidR="00B67816" w:rsidRPr="00237EAA">
        <w:rPr>
          <w:rFonts w:ascii="Garamond" w:hAnsi="Garamond"/>
          <w:b/>
          <w:sz w:val="26"/>
          <w:szCs w:val="26"/>
          <w:lang w:val="en-US"/>
        </w:rPr>
        <w:t xml:space="preserve"> to represent on the order of 5% of the </w:t>
      </w:r>
      <w:r w:rsidR="0037519F" w:rsidRPr="00237EAA">
        <w:rPr>
          <w:rFonts w:ascii="Garamond" w:hAnsi="Garamond"/>
          <w:b/>
          <w:sz w:val="26"/>
          <w:szCs w:val="26"/>
          <w:lang w:val="en-US"/>
        </w:rPr>
        <w:t xml:space="preserve">commodity </w:t>
      </w:r>
      <w:r w:rsidR="00B67816" w:rsidRPr="00237EAA">
        <w:rPr>
          <w:rFonts w:ascii="Garamond" w:hAnsi="Garamond"/>
          <w:b/>
          <w:sz w:val="26"/>
          <w:szCs w:val="26"/>
          <w:lang w:val="en-US"/>
        </w:rPr>
        <w:t>final sale price at a reasonable market value</w:t>
      </w:r>
      <w:r w:rsidR="00B67816">
        <w:rPr>
          <w:rFonts w:ascii="Garamond" w:hAnsi="Garamond"/>
          <w:sz w:val="26"/>
          <w:szCs w:val="26"/>
          <w:lang w:val="en-US"/>
        </w:rPr>
        <w:t xml:space="preserve"> (</w:t>
      </w:r>
      <w:r>
        <w:rPr>
          <w:rFonts w:ascii="Garamond" w:hAnsi="Garamond"/>
          <w:sz w:val="26"/>
          <w:szCs w:val="26"/>
          <w:lang w:val="en-US"/>
        </w:rPr>
        <w:t xml:space="preserve">e. g. </w:t>
      </w:r>
      <w:r w:rsidR="00E41E95">
        <w:rPr>
          <w:rFonts w:ascii="Garamond" w:hAnsi="Garamond"/>
          <w:sz w:val="26"/>
          <w:szCs w:val="26"/>
          <w:lang w:val="en-US"/>
        </w:rPr>
        <w:t>$92/barrel for algal biodiesel and $500/</w:t>
      </w:r>
      <w:r w:rsidR="00B67816">
        <w:rPr>
          <w:rFonts w:ascii="Garamond" w:hAnsi="Garamond"/>
          <w:sz w:val="26"/>
          <w:szCs w:val="26"/>
          <w:lang w:val="en-US"/>
        </w:rPr>
        <w:t>ton P</w:t>
      </w:r>
      <w:r w:rsidR="003B1BC7">
        <w:rPr>
          <w:rFonts w:ascii="Garamond" w:hAnsi="Garamond"/>
          <w:sz w:val="26"/>
          <w:szCs w:val="26"/>
          <w:lang w:val="en-US"/>
        </w:rPr>
        <w:t>, which are lower than current market values</w:t>
      </w:r>
      <w:r w:rsidR="00B67816">
        <w:rPr>
          <w:rFonts w:ascii="Garamond" w:hAnsi="Garamond"/>
          <w:sz w:val="26"/>
          <w:szCs w:val="26"/>
          <w:lang w:val="en-US"/>
        </w:rPr>
        <w:t xml:space="preserve">). </w:t>
      </w:r>
      <w:r>
        <w:rPr>
          <w:rFonts w:ascii="Garamond" w:hAnsi="Garamond"/>
          <w:sz w:val="26"/>
          <w:szCs w:val="26"/>
          <w:lang w:val="en-US"/>
        </w:rPr>
        <w:t xml:space="preserve"> These</w:t>
      </w:r>
      <w:r w:rsidR="00B67816">
        <w:rPr>
          <w:rFonts w:ascii="Garamond" w:hAnsi="Garamond"/>
          <w:sz w:val="26"/>
          <w:szCs w:val="26"/>
          <w:lang w:val="en-US"/>
        </w:rPr>
        <w:t xml:space="preserve"> rates</w:t>
      </w:r>
      <w:r>
        <w:rPr>
          <w:rFonts w:ascii="Garamond" w:hAnsi="Garamond"/>
          <w:sz w:val="26"/>
          <w:szCs w:val="26"/>
          <w:lang w:val="en-US"/>
        </w:rPr>
        <w:t xml:space="preserve"> (e. g. $</w:t>
      </w:r>
      <w:r w:rsidR="00E41E95">
        <w:rPr>
          <w:rFonts w:ascii="Garamond" w:hAnsi="Garamond"/>
          <w:sz w:val="26"/>
          <w:szCs w:val="26"/>
          <w:lang w:val="en-US"/>
        </w:rPr>
        <w:t>0.05/gal biodiesel and $</w:t>
      </w:r>
      <w:r>
        <w:rPr>
          <w:rFonts w:ascii="Garamond" w:hAnsi="Garamond"/>
          <w:sz w:val="26"/>
          <w:szCs w:val="26"/>
          <w:lang w:val="en-US"/>
        </w:rPr>
        <w:t>50 ton P)</w:t>
      </w:r>
      <w:r w:rsidR="00B67816">
        <w:rPr>
          <w:rFonts w:ascii="Garamond" w:hAnsi="Garamond"/>
          <w:sz w:val="26"/>
          <w:szCs w:val="26"/>
          <w:lang w:val="en-US"/>
        </w:rPr>
        <w:t xml:space="preserve"> will be kept constant throughout the improvement of the technology resulting from the licensing revenues</w:t>
      </w:r>
      <w:r w:rsidR="007304DB">
        <w:rPr>
          <w:rFonts w:ascii="Garamond" w:hAnsi="Garamond"/>
          <w:sz w:val="26"/>
          <w:szCs w:val="26"/>
          <w:lang w:val="en-US"/>
        </w:rPr>
        <w:t xml:space="preserve">, as well as solely proportional to </w:t>
      </w:r>
      <w:r w:rsidR="00F349BA">
        <w:rPr>
          <w:rFonts w:ascii="Garamond" w:hAnsi="Garamond"/>
          <w:sz w:val="26"/>
          <w:szCs w:val="26"/>
          <w:lang w:val="en-US"/>
        </w:rPr>
        <w:t>actual</w:t>
      </w:r>
      <w:r w:rsidR="00297190">
        <w:rPr>
          <w:rFonts w:ascii="Garamond" w:hAnsi="Garamond"/>
          <w:sz w:val="26"/>
          <w:szCs w:val="26"/>
          <w:lang w:val="en-US"/>
        </w:rPr>
        <w:t xml:space="preserve"> </w:t>
      </w:r>
      <w:r w:rsidR="007304DB">
        <w:rPr>
          <w:rFonts w:ascii="Garamond" w:hAnsi="Garamond"/>
          <w:sz w:val="26"/>
          <w:szCs w:val="26"/>
          <w:lang w:val="en-US"/>
        </w:rPr>
        <w:t>commodity production.</w:t>
      </w:r>
    </w:p>
    <w:p w:rsidR="00E70D98" w:rsidRPr="00390F30" w:rsidRDefault="00E70D98" w:rsidP="00834751">
      <w:pPr>
        <w:spacing w:after="0"/>
        <w:ind w:left="360"/>
        <w:rPr>
          <w:rFonts w:ascii="Garamond" w:hAnsi="Garamond"/>
          <w:sz w:val="26"/>
          <w:szCs w:val="26"/>
          <w:lang w:val="en-US"/>
        </w:rPr>
      </w:pPr>
    </w:p>
    <w:p w:rsidR="00551BB2" w:rsidRPr="00C972BA" w:rsidRDefault="00551BB2" w:rsidP="00551BB2">
      <w:pPr>
        <w:pStyle w:val="Heading2"/>
        <w:rPr>
          <w:b/>
          <w:color w:val="149346"/>
          <w:lang w:val="en-US"/>
        </w:rPr>
      </w:pPr>
      <w:bookmarkStart w:id="4" w:name="_Toc403474319"/>
      <w:r>
        <w:rPr>
          <w:b/>
          <w:color w:val="149346"/>
          <w:lang w:val="en-US"/>
        </w:rPr>
        <w:t>C</w:t>
      </w:r>
      <w:r w:rsidRPr="00034C1B">
        <w:rPr>
          <w:b/>
          <w:color w:val="149346"/>
          <w:lang w:val="en-US"/>
        </w:rPr>
        <w:t xml:space="preserve"> </w:t>
      </w:r>
      <w:r>
        <w:rPr>
          <w:b/>
          <w:color w:val="149346"/>
          <w:lang w:val="en-US"/>
        </w:rPr>
        <w:t>–</w:t>
      </w:r>
      <w:r w:rsidR="006508EB">
        <w:rPr>
          <w:b/>
          <w:color w:val="149346"/>
          <w:lang w:val="en-US"/>
        </w:rPr>
        <w:t xml:space="preserve"> A</w:t>
      </w:r>
      <w:r w:rsidR="00AE5FD0" w:rsidRPr="00C972BA">
        <w:rPr>
          <w:b/>
          <w:color w:val="149346"/>
          <w:lang w:val="en-US"/>
        </w:rPr>
        <w:t>lgal biomass and biofuel</w:t>
      </w:r>
      <w:r w:rsidR="006508EB">
        <w:rPr>
          <w:b/>
          <w:color w:val="149346"/>
          <w:lang w:val="en-US"/>
        </w:rPr>
        <w:t>:</w:t>
      </w:r>
      <w:r w:rsidRPr="00C972BA">
        <w:rPr>
          <w:b/>
          <w:color w:val="149346"/>
          <w:lang w:val="en-US"/>
        </w:rPr>
        <w:t xml:space="preserve"> </w:t>
      </w:r>
      <w:r w:rsidR="006508EB" w:rsidRPr="00C972BA">
        <w:rPr>
          <w:b/>
          <w:color w:val="149346"/>
          <w:lang w:val="en-US"/>
        </w:rPr>
        <w:t>Market analysis</w:t>
      </w:r>
      <w:bookmarkEnd w:id="4"/>
    </w:p>
    <w:p w:rsidR="00034C1B" w:rsidRPr="00C972BA" w:rsidRDefault="00034C1B" w:rsidP="00520868">
      <w:pPr>
        <w:spacing w:after="0"/>
        <w:rPr>
          <w:rFonts w:ascii="Garamond" w:hAnsi="Garamond"/>
          <w:color w:val="149346"/>
          <w:sz w:val="26"/>
          <w:szCs w:val="26"/>
          <w:lang w:val="en-US"/>
        </w:rPr>
      </w:pPr>
    </w:p>
    <w:p w:rsidR="00C972BA" w:rsidRPr="00C972BA" w:rsidRDefault="00B36EC4" w:rsidP="00C972BA">
      <w:pPr>
        <w:pStyle w:val="Heading3"/>
        <w:numPr>
          <w:ilvl w:val="0"/>
          <w:numId w:val="7"/>
        </w:numPr>
        <w:spacing w:before="0" w:after="120"/>
        <w:rPr>
          <w:color w:val="149346"/>
          <w:lang w:val="en-US"/>
        </w:rPr>
      </w:pPr>
      <w:bookmarkStart w:id="5" w:name="_Toc403474320"/>
      <w:r w:rsidRPr="00C972BA">
        <w:rPr>
          <w:color w:val="149346"/>
          <w:lang w:val="en-US"/>
        </w:rPr>
        <w:t>State of the art</w:t>
      </w:r>
      <w:r w:rsidR="00C972BA">
        <w:rPr>
          <w:color w:val="149346"/>
          <w:lang w:val="en-US"/>
        </w:rPr>
        <w:t xml:space="preserve"> and current limitations</w:t>
      </w:r>
      <w:bookmarkEnd w:id="5"/>
    </w:p>
    <w:p w:rsidR="00560AB5" w:rsidRDefault="00024075" w:rsidP="00C972BA">
      <w:pPr>
        <w:ind w:left="360"/>
        <w:rPr>
          <w:rFonts w:ascii="Garamond" w:hAnsi="Garamond"/>
          <w:sz w:val="26"/>
          <w:szCs w:val="26"/>
          <w:lang w:val="en-US"/>
        </w:rPr>
      </w:pPr>
      <w:r>
        <w:rPr>
          <w:rFonts w:ascii="Garamond" w:hAnsi="Garamond"/>
          <w:sz w:val="26"/>
          <w:szCs w:val="26"/>
          <w:lang w:val="en-US"/>
        </w:rPr>
        <w:t>Algal biomass productivities are</w:t>
      </w:r>
      <w:r w:rsidR="00FA480A">
        <w:rPr>
          <w:rFonts w:ascii="Garamond" w:hAnsi="Garamond"/>
          <w:sz w:val="26"/>
          <w:szCs w:val="26"/>
          <w:lang w:val="en-US"/>
        </w:rPr>
        <w:t xml:space="preserve"> currently</w:t>
      </w:r>
      <w:r>
        <w:rPr>
          <w:rFonts w:ascii="Garamond" w:hAnsi="Garamond"/>
          <w:sz w:val="26"/>
          <w:szCs w:val="26"/>
          <w:lang w:val="en-US"/>
        </w:rPr>
        <w:t xml:space="preserve"> on the order of 20 g</w:t>
      </w:r>
      <w:r w:rsidRPr="00024075">
        <w:rPr>
          <w:rFonts w:ascii="Garamond" w:hAnsi="Garamond"/>
          <w:sz w:val="26"/>
          <w:szCs w:val="26"/>
          <w:vertAlign w:val="subscript"/>
          <w:lang w:val="en-US"/>
        </w:rPr>
        <w:t>DW</w:t>
      </w:r>
      <w:r>
        <w:rPr>
          <w:rFonts w:ascii="Garamond" w:hAnsi="Garamond"/>
          <w:sz w:val="26"/>
          <w:szCs w:val="26"/>
          <w:lang w:val="en-US"/>
        </w:rPr>
        <w:t xml:space="preserve"> m</w:t>
      </w:r>
      <w:r w:rsidRPr="00024075">
        <w:rPr>
          <w:rFonts w:ascii="Garamond" w:hAnsi="Garamond"/>
          <w:sz w:val="26"/>
          <w:szCs w:val="26"/>
          <w:vertAlign w:val="superscript"/>
          <w:lang w:val="en-US"/>
        </w:rPr>
        <w:t>-2</w:t>
      </w:r>
      <w:r>
        <w:rPr>
          <w:rFonts w:ascii="Garamond" w:hAnsi="Garamond"/>
          <w:sz w:val="26"/>
          <w:szCs w:val="26"/>
          <w:lang w:val="en-US"/>
        </w:rPr>
        <w:t xml:space="preserve"> d</w:t>
      </w:r>
      <w:r w:rsidRPr="00024075">
        <w:rPr>
          <w:rFonts w:ascii="Garamond" w:hAnsi="Garamond"/>
          <w:sz w:val="26"/>
          <w:szCs w:val="26"/>
          <w:vertAlign w:val="superscript"/>
          <w:lang w:val="en-US"/>
        </w:rPr>
        <w:t>-1</w:t>
      </w:r>
      <w:r>
        <w:rPr>
          <w:rFonts w:ascii="Garamond" w:hAnsi="Garamond"/>
          <w:sz w:val="26"/>
          <w:szCs w:val="26"/>
          <w:lang w:val="en-US"/>
        </w:rPr>
        <w:t xml:space="preserve"> (yearly average, DW: dry weight) in Southern US latitudes.  These solar intensities should afford productivities on the order of 100 g</w:t>
      </w:r>
      <w:r w:rsidRPr="00024075">
        <w:rPr>
          <w:rFonts w:ascii="Garamond" w:hAnsi="Garamond"/>
          <w:sz w:val="26"/>
          <w:szCs w:val="26"/>
          <w:vertAlign w:val="subscript"/>
          <w:lang w:val="en-US"/>
        </w:rPr>
        <w:t>DW</w:t>
      </w:r>
      <w:r>
        <w:rPr>
          <w:rFonts w:ascii="Garamond" w:hAnsi="Garamond"/>
          <w:sz w:val="26"/>
          <w:szCs w:val="26"/>
          <w:lang w:val="en-US"/>
        </w:rPr>
        <w:t xml:space="preserve"> m</w:t>
      </w:r>
      <w:r w:rsidRPr="00024075">
        <w:rPr>
          <w:rFonts w:ascii="Garamond" w:hAnsi="Garamond"/>
          <w:sz w:val="26"/>
          <w:szCs w:val="26"/>
          <w:vertAlign w:val="superscript"/>
          <w:lang w:val="en-US"/>
        </w:rPr>
        <w:t>-2</w:t>
      </w:r>
      <w:r>
        <w:rPr>
          <w:rFonts w:ascii="Garamond" w:hAnsi="Garamond"/>
          <w:sz w:val="26"/>
          <w:szCs w:val="26"/>
          <w:lang w:val="en-US"/>
        </w:rPr>
        <w:t xml:space="preserve"> d</w:t>
      </w:r>
      <w:r w:rsidRPr="00024075">
        <w:rPr>
          <w:rFonts w:ascii="Garamond" w:hAnsi="Garamond"/>
          <w:sz w:val="26"/>
          <w:szCs w:val="26"/>
          <w:vertAlign w:val="superscript"/>
          <w:lang w:val="en-US"/>
        </w:rPr>
        <w:t>-1</w:t>
      </w:r>
      <w:r>
        <w:rPr>
          <w:rFonts w:ascii="Garamond" w:hAnsi="Garamond"/>
          <w:sz w:val="26"/>
          <w:szCs w:val="26"/>
          <w:lang w:val="en-US"/>
        </w:rPr>
        <w:t xml:space="preserve"> under nutrient replete</w:t>
      </w:r>
      <w:r w:rsidR="00E351E2">
        <w:rPr>
          <w:rFonts w:ascii="Garamond" w:hAnsi="Garamond"/>
          <w:sz w:val="26"/>
          <w:szCs w:val="26"/>
          <w:lang w:val="en-US"/>
        </w:rPr>
        <w:t xml:space="preserve"> conditions, according to the</w:t>
      </w:r>
      <w:r>
        <w:rPr>
          <w:rFonts w:ascii="Garamond" w:hAnsi="Garamond"/>
          <w:sz w:val="26"/>
          <w:szCs w:val="26"/>
          <w:lang w:val="en-US"/>
        </w:rPr>
        <w:t xml:space="preserve"> biomass yields</w:t>
      </w:r>
      <w:r w:rsidR="00E351E2">
        <w:rPr>
          <w:rFonts w:ascii="Garamond" w:hAnsi="Garamond"/>
          <w:sz w:val="26"/>
          <w:szCs w:val="26"/>
          <w:lang w:val="en-US"/>
        </w:rPr>
        <w:t xml:space="preserve"> measured</w:t>
      </w:r>
      <w:r w:rsidR="00E351E2" w:rsidRPr="00E351E2">
        <w:rPr>
          <w:rFonts w:ascii="Garamond" w:hAnsi="Garamond"/>
          <w:sz w:val="26"/>
          <w:szCs w:val="26"/>
          <w:lang w:val="en-US"/>
        </w:rPr>
        <w:t xml:space="preserve"> </w:t>
      </w:r>
      <w:r w:rsidR="00E351E2">
        <w:rPr>
          <w:rFonts w:ascii="Garamond" w:hAnsi="Garamond"/>
          <w:sz w:val="26"/>
          <w:szCs w:val="26"/>
          <w:lang w:val="en-US"/>
        </w:rPr>
        <w:t>experimentally by Dr. Alexandra Holland</w:t>
      </w:r>
      <w:r>
        <w:rPr>
          <w:rFonts w:ascii="Garamond" w:hAnsi="Garamond"/>
          <w:sz w:val="26"/>
          <w:szCs w:val="26"/>
          <w:lang w:val="en-US"/>
        </w:rPr>
        <w:t>.</w:t>
      </w:r>
      <w:r w:rsidR="00560AB5">
        <w:rPr>
          <w:rFonts w:ascii="Garamond" w:hAnsi="Garamond"/>
          <w:sz w:val="26"/>
          <w:szCs w:val="26"/>
          <w:lang w:val="en-US"/>
        </w:rPr>
        <w:t xml:space="preserve">  </w:t>
      </w:r>
    </w:p>
    <w:p w:rsidR="00E05E93" w:rsidRDefault="001619D7" w:rsidP="00560AB5">
      <w:pPr>
        <w:ind w:left="360"/>
        <w:rPr>
          <w:rFonts w:ascii="Garamond" w:hAnsi="Garamond"/>
          <w:sz w:val="26"/>
          <w:szCs w:val="26"/>
          <w:lang w:val="en-US"/>
        </w:rPr>
      </w:pPr>
      <w:r>
        <w:rPr>
          <w:rFonts w:ascii="Garamond" w:hAnsi="Garamond"/>
          <w:sz w:val="26"/>
          <w:szCs w:val="26"/>
          <w:lang w:val="en-US"/>
        </w:rPr>
        <w:t xml:space="preserve">In addition, </w:t>
      </w:r>
      <w:r w:rsidR="00702F60">
        <w:rPr>
          <w:rFonts w:ascii="Garamond" w:hAnsi="Garamond"/>
          <w:sz w:val="26"/>
          <w:szCs w:val="26"/>
          <w:lang w:val="en-US"/>
        </w:rPr>
        <w:t>a</w:t>
      </w:r>
      <w:r>
        <w:rPr>
          <w:rFonts w:ascii="Garamond" w:hAnsi="Garamond"/>
          <w:sz w:val="26"/>
          <w:szCs w:val="26"/>
          <w:lang w:val="en-US"/>
        </w:rPr>
        <w:t>lgal production facilities lack a reliable growth model to predict algal biomass production.  The current consensus in the field is to use specific growth rate</w:t>
      </w:r>
      <w:r w:rsidR="00FA480A">
        <w:rPr>
          <w:rFonts w:ascii="Garamond" w:hAnsi="Garamond"/>
          <w:sz w:val="26"/>
          <w:szCs w:val="26"/>
          <w:lang w:val="en-US"/>
        </w:rPr>
        <w:t xml:space="preserve"> µ</w:t>
      </w:r>
      <w:r>
        <w:rPr>
          <w:rFonts w:ascii="Garamond" w:hAnsi="Garamond"/>
          <w:sz w:val="26"/>
          <w:szCs w:val="26"/>
          <w:lang w:val="en-US"/>
        </w:rPr>
        <w:t xml:space="preserve"> to describe </w:t>
      </w:r>
      <w:r w:rsidR="003E0CAD">
        <w:rPr>
          <w:rFonts w:ascii="Garamond" w:hAnsi="Garamond"/>
          <w:sz w:val="26"/>
          <w:szCs w:val="26"/>
          <w:lang w:val="en-US"/>
        </w:rPr>
        <w:t>biomass production</w:t>
      </w:r>
      <w:r w:rsidR="00E05E93">
        <w:rPr>
          <w:rFonts w:ascii="Garamond" w:hAnsi="Garamond"/>
          <w:sz w:val="26"/>
          <w:szCs w:val="26"/>
          <w:lang w:val="en-US"/>
        </w:rPr>
        <w:t>, as is common in Biology.  I</w:t>
      </w:r>
      <w:r w:rsidR="00560AB5">
        <w:rPr>
          <w:rFonts w:ascii="Garamond" w:hAnsi="Garamond"/>
          <w:sz w:val="26"/>
          <w:szCs w:val="26"/>
          <w:lang w:val="en-US"/>
        </w:rPr>
        <w:t xml:space="preserve">n the absence of a reliable growth model, algae are grown in excess nutrients leading to </w:t>
      </w:r>
      <w:r w:rsidR="009F7A03">
        <w:rPr>
          <w:rFonts w:ascii="Garamond" w:hAnsi="Garamond"/>
          <w:sz w:val="26"/>
          <w:szCs w:val="26"/>
          <w:lang w:val="en-US"/>
        </w:rPr>
        <w:t xml:space="preserve">waste of an expensive feedstock </w:t>
      </w:r>
      <w:r w:rsidR="00560AB5">
        <w:rPr>
          <w:rFonts w:ascii="Garamond" w:hAnsi="Garamond"/>
          <w:sz w:val="26"/>
          <w:szCs w:val="26"/>
          <w:lang w:val="en-US"/>
        </w:rPr>
        <w:t>as well as the production of a contaminated effluent.</w:t>
      </w:r>
      <w:r w:rsidR="00E05E93">
        <w:rPr>
          <w:rFonts w:ascii="Garamond" w:hAnsi="Garamond"/>
          <w:sz w:val="26"/>
          <w:szCs w:val="26"/>
          <w:lang w:val="en-US"/>
        </w:rPr>
        <w:t xml:space="preserve">  As </w:t>
      </w:r>
      <w:r w:rsidR="00DD3138">
        <w:rPr>
          <w:rFonts w:ascii="Garamond" w:hAnsi="Garamond"/>
          <w:sz w:val="26"/>
          <w:szCs w:val="26"/>
          <w:lang w:val="en-US"/>
        </w:rPr>
        <w:t xml:space="preserve">a stark contrast, Dr. </w:t>
      </w:r>
      <w:r w:rsidR="00E05E93">
        <w:rPr>
          <w:rFonts w:ascii="Garamond" w:hAnsi="Garamond"/>
          <w:sz w:val="26"/>
          <w:szCs w:val="26"/>
          <w:lang w:val="en-US"/>
        </w:rPr>
        <w:t>Holland proposes to use a yield-based model, derived from a Chemical Engineering material and energy balance (</w:t>
      </w:r>
      <w:r w:rsidR="00E05E93" w:rsidRPr="00E05E93">
        <w:rPr>
          <w:rFonts w:ascii="Garamond" w:hAnsi="Garamond"/>
          <w:sz w:val="26"/>
          <w:szCs w:val="26"/>
          <w:lang w:val="en-US"/>
        </w:rPr>
        <w:t xml:space="preserve">Holland et al. </w:t>
      </w:r>
      <w:r w:rsidR="00E05E93">
        <w:rPr>
          <w:rFonts w:ascii="Garamond" w:hAnsi="Garamond"/>
          <w:sz w:val="26"/>
          <w:szCs w:val="26"/>
          <w:lang w:val="en-US"/>
        </w:rPr>
        <w:t>2011 Biotechnology Journal. 6:584).</w:t>
      </w:r>
    </w:p>
    <w:p w:rsidR="00560AB5" w:rsidRDefault="00560AB5" w:rsidP="00560AB5">
      <w:pPr>
        <w:ind w:left="360"/>
        <w:rPr>
          <w:rFonts w:ascii="Garamond" w:hAnsi="Garamond"/>
          <w:sz w:val="26"/>
          <w:szCs w:val="26"/>
          <w:lang w:val="en-US"/>
        </w:rPr>
      </w:pPr>
      <w:r>
        <w:rPr>
          <w:rFonts w:ascii="Garamond" w:hAnsi="Garamond"/>
          <w:sz w:val="26"/>
          <w:szCs w:val="26"/>
          <w:lang w:val="en-US"/>
        </w:rPr>
        <w:t xml:space="preserve">While </w:t>
      </w:r>
      <w:r w:rsidR="00FA480A">
        <w:rPr>
          <w:rFonts w:ascii="Garamond" w:hAnsi="Garamond"/>
          <w:sz w:val="26"/>
          <w:szCs w:val="26"/>
          <w:lang w:val="en-US"/>
        </w:rPr>
        <w:t xml:space="preserve">algal </w:t>
      </w:r>
      <w:r>
        <w:rPr>
          <w:rFonts w:ascii="Garamond" w:hAnsi="Garamond"/>
          <w:sz w:val="26"/>
          <w:szCs w:val="26"/>
          <w:lang w:val="en-US"/>
        </w:rPr>
        <w:t xml:space="preserve">biomass yields </w:t>
      </w:r>
      <w:r w:rsidR="00FA480A">
        <w:rPr>
          <w:rFonts w:ascii="Garamond" w:hAnsi="Garamond"/>
          <w:sz w:val="26"/>
          <w:szCs w:val="26"/>
          <w:lang w:val="en-US"/>
        </w:rPr>
        <w:t xml:space="preserve">presently </w:t>
      </w:r>
      <w:r>
        <w:rPr>
          <w:rFonts w:ascii="Garamond" w:hAnsi="Garamond"/>
          <w:sz w:val="26"/>
          <w:szCs w:val="26"/>
          <w:lang w:val="en-US"/>
        </w:rPr>
        <w:t>prove sub-optimal, algal lipid yields are correspondingly lower since they furthermore rely on a discontinuous process, in which algae are first grown in nitrogen (N) excess, then transferred to a N-depleted environment.  Algal lipid productivities are reportedly on the order of 830 gal acre</w:t>
      </w:r>
      <w:r w:rsidRPr="00E351E2">
        <w:rPr>
          <w:rFonts w:ascii="Garamond" w:hAnsi="Garamond"/>
          <w:sz w:val="26"/>
          <w:szCs w:val="26"/>
          <w:vertAlign w:val="superscript"/>
          <w:lang w:val="en-US"/>
        </w:rPr>
        <w:t>-1</w:t>
      </w:r>
      <w:r>
        <w:rPr>
          <w:rFonts w:ascii="Garamond" w:hAnsi="Garamond"/>
          <w:sz w:val="26"/>
          <w:szCs w:val="26"/>
          <w:lang w:val="en-US"/>
        </w:rPr>
        <w:t xml:space="preserve"> y</w:t>
      </w:r>
      <w:r w:rsidRPr="00E351E2">
        <w:rPr>
          <w:rFonts w:ascii="Garamond" w:hAnsi="Garamond"/>
          <w:sz w:val="26"/>
          <w:szCs w:val="26"/>
          <w:vertAlign w:val="superscript"/>
          <w:lang w:val="en-US"/>
        </w:rPr>
        <w:t>-1</w:t>
      </w:r>
      <w:r>
        <w:rPr>
          <w:rFonts w:ascii="Garamond" w:hAnsi="Garamond"/>
          <w:sz w:val="26"/>
          <w:szCs w:val="26"/>
          <w:lang w:val="en-US"/>
        </w:rPr>
        <w:t xml:space="preserve"> (Davis et al. 2011 Applied Energy 88</w:t>
      </w:r>
      <w:r w:rsidRPr="001619D7">
        <w:rPr>
          <w:rFonts w:ascii="Garamond" w:hAnsi="Garamond"/>
          <w:sz w:val="26"/>
          <w:szCs w:val="26"/>
          <w:lang w:val="en-US"/>
        </w:rPr>
        <w:t xml:space="preserve"> 3524</w:t>
      </w:r>
      <w:r>
        <w:rPr>
          <w:rFonts w:ascii="Garamond" w:hAnsi="Garamond"/>
          <w:sz w:val="26"/>
          <w:szCs w:val="26"/>
          <w:lang w:val="en-US"/>
        </w:rPr>
        <w:t>), while PIARCS’ proposed continuous process should achieve ~ 7500 gal acre</w:t>
      </w:r>
      <w:r w:rsidRPr="00E351E2">
        <w:rPr>
          <w:rFonts w:ascii="Garamond" w:hAnsi="Garamond"/>
          <w:sz w:val="26"/>
          <w:szCs w:val="26"/>
          <w:vertAlign w:val="superscript"/>
          <w:lang w:val="en-US"/>
        </w:rPr>
        <w:t>-1</w:t>
      </w:r>
      <w:r>
        <w:rPr>
          <w:rFonts w:ascii="Garamond" w:hAnsi="Garamond"/>
          <w:sz w:val="26"/>
          <w:szCs w:val="26"/>
          <w:lang w:val="en-US"/>
        </w:rPr>
        <w:t xml:space="preserve"> y</w:t>
      </w:r>
      <w:r w:rsidRPr="00E351E2">
        <w:rPr>
          <w:rFonts w:ascii="Garamond" w:hAnsi="Garamond"/>
          <w:sz w:val="26"/>
          <w:szCs w:val="26"/>
          <w:vertAlign w:val="superscript"/>
          <w:lang w:val="en-US"/>
        </w:rPr>
        <w:t>-1</w:t>
      </w:r>
      <w:r>
        <w:rPr>
          <w:rFonts w:ascii="Garamond" w:hAnsi="Garamond"/>
          <w:sz w:val="26"/>
          <w:szCs w:val="26"/>
          <w:lang w:val="en-US"/>
        </w:rPr>
        <w:t xml:space="preserve"> at comparable latitudes.</w:t>
      </w:r>
    </w:p>
    <w:p w:rsidR="00560AB5" w:rsidRDefault="006A53E4" w:rsidP="00560AB5">
      <w:pPr>
        <w:ind w:left="360"/>
        <w:rPr>
          <w:rFonts w:ascii="Garamond" w:hAnsi="Garamond"/>
          <w:sz w:val="26"/>
          <w:szCs w:val="26"/>
          <w:lang w:val="en-US"/>
        </w:rPr>
      </w:pPr>
      <w:r>
        <w:rPr>
          <w:rFonts w:ascii="Garamond" w:hAnsi="Garamond"/>
          <w:sz w:val="26"/>
          <w:szCs w:val="26"/>
          <w:lang w:val="en-US"/>
        </w:rPr>
        <w:t xml:space="preserve">Continuous lipid production has been shown with algae grown on sugars (heterotrophic growth).  This model is deemed not sustainable since the </w:t>
      </w:r>
      <w:r w:rsidR="004072B0">
        <w:rPr>
          <w:rFonts w:ascii="Garamond" w:hAnsi="Garamond"/>
          <w:sz w:val="26"/>
          <w:szCs w:val="26"/>
          <w:lang w:val="en-US"/>
        </w:rPr>
        <w:t>process relies on crop sugar</w:t>
      </w:r>
      <w:r w:rsidR="000636DB">
        <w:rPr>
          <w:rFonts w:ascii="Garamond" w:hAnsi="Garamond"/>
          <w:sz w:val="26"/>
          <w:szCs w:val="26"/>
          <w:lang w:val="en-US"/>
        </w:rPr>
        <w:t xml:space="preserve"> </w:t>
      </w:r>
      <w:r w:rsidR="004072B0">
        <w:rPr>
          <w:rFonts w:ascii="Garamond" w:hAnsi="Garamond"/>
          <w:sz w:val="26"/>
          <w:szCs w:val="26"/>
          <w:lang w:val="en-US"/>
        </w:rPr>
        <w:t>production to supply its</w:t>
      </w:r>
      <w:r w:rsidR="000636DB">
        <w:rPr>
          <w:rFonts w:ascii="Garamond" w:hAnsi="Garamond"/>
          <w:sz w:val="26"/>
          <w:szCs w:val="26"/>
          <w:lang w:val="en-US"/>
        </w:rPr>
        <w:t xml:space="preserve"> energy source.  This intermediate step</w:t>
      </w:r>
      <w:r w:rsidR="004072B0">
        <w:rPr>
          <w:rFonts w:ascii="Garamond" w:hAnsi="Garamond"/>
          <w:sz w:val="26"/>
          <w:szCs w:val="26"/>
          <w:lang w:val="en-US"/>
        </w:rPr>
        <w:t xml:space="preserve"> constrains the overall system efficiency to be lower than crop yields, which are lower than autotrophic algae (grown with light as sole energy source).</w:t>
      </w:r>
      <w:r w:rsidR="00173B0C">
        <w:rPr>
          <w:rFonts w:ascii="Garamond" w:hAnsi="Garamond"/>
          <w:sz w:val="26"/>
          <w:szCs w:val="26"/>
          <w:lang w:val="en-US"/>
        </w:rPr>
        <w:t xml:space="preserve">  </w:t>
      </w:r>
    </w:p>
    <w:p w:rsidR="00032D99" w:rsidRDefault="00173B0C" w:rsidP="00032D99">
      <w:pPr>
        <w:ind w:left="360"/>
        <w:rPr>
          <w:rFonts w:ascii="Garamond" w:hAnsi="Garamond"/>
          <w:sz w:val="26"/>
          <w:szCs w:val="26"/>
          <w:lang w:val="en-US"/>
        </w:rPr>
      </w:pPr>
      <w:r>
        <w:rPr>
          <w:rFonts w:ascii="Garamond" w:hAnsi="Garamond"/>
          <w:sz w:val="26"/>
          <w:szCs w:val="26"/>
          <w:lang w:val="en-US"/>
        </w:rPr>
        <w:t xml:space="preserve">As a consequence of using </w:t>
      </w:r>
      <w:r w:rsidR="00032D99">
        <w:rPr>
          <w:rFonts w:ascii="Garamond" w:hAnsi="Garamond"/>
          <w:sz w:val="26"/>
          <w:szCs w:val="26"/>
          <w:lang w:val="en-US"/>
        </w:rPr>
        <w:t xml:space="preserve">Biology </w:t>
      </w:r>
      <w:r>
        <w:rPr>
          <w:rFonts w:ascii="Garamond" w:hAnsi="Garamond"/>
          <w:sz w:val="26"/>
          <w:szCs w:val="26"/>
          <w:lang w:val="en-US"/>
        </w:rPr>
        <w:t>models based on growth rates</w:t>
      </w:r>
      <w:r w:rsidR="00032D99">
        <w:rPr>
          <w:rFonts w:ascii="Garamond" w:hAnsi="Garamond"/>
          <w:sz w:val="26"/>
          <w:szCs w:val="26"/>
          <w:lang w:val="en-US"/>
        </w:rPr>
        <w:t xml:space="preserve"> µ</w:t>
      </w:r>
      <w:r>
        <w:rPr>
          <w:rFonts w:ascii="Garamond" w:hAnsi="Garamond"/>
          <w:sz w:val="26"/>
          <w:szCs w:val="26"/>
          <w:lang w:val="en-US"/>
        </w:rPr>
        <w:t>, algal strains hav</w:t>
      </w:r>
      <w:r w:rsidR="00032D99">
        <w:rPr>
          <w:rFonts w:ascii="Garamond" w:hAnsi="Garamond"/>
          <w:sz w:val="26"/>
          <w:szCs w:val="26"/>
          <w:lang w:val="en-US"/>
        </w:rPr>
        <w:t>e been selected for high µ</w:t>
      </w:r>
      <w:r w:rsidR="0055318D">
        <w:rPr>
          <w:rFonts w:ascii="Garamond" w:hAnsi="Garamond"/>
          <w:sz w:val="26"/>
          <w:szCs w:val="26"/>
          <w:lang w:val="en-US"/>
        </w:rPr>
        <w:t xml:space="preserve"> (</w:t>
      </w:r>
      <w:r w:rsidR="00FA480A">
        <w:rPr>
          <w:rFonts w:ascii="Garamond" w:hAnsi="Garamond"/>
          <w:sz w:val="26"/>
          <w:szCs w:val="26"/>
          <w:lang w:val="en-US"/>
        </w:rPr>
        <w:t>“</w:t>
      </w:r>
      <w:r w:rsidR="0055318D">
        <w:rPr>
          <w:rFonts w:ascii="Garamond" w:hAnsi="Garamond"/>
          <w:sz w:val="26"/>
          <w:szCs w:val="26"/>
          <w:lang w:val="en-US"/>
        </w:rPr>
        <w:t>speed</w:t>
      </w:r>
      <w:r w:rsidR="00FA480A">
        <w:rPr>
          <w:rFonts w:ascii="Garamond" w:hAnsi="Garamond"/>
          <w:sz w:val="26"/>
          <w:szCs w:val="26"/>
          <w:lang w:val="en-US"/>
        </w:rPr>
        <w:t>”</w:t>
      </w:r>
      <w:r w:rsidR="0055318D">
        <w:rPr>
          <w:rFonts w:ascii="Garamond" w:hAnsi="Garamond"/>
          <w:sz w:val="26"/>
          <w:szCs w:val="26"/>
          <w:lang w:val="en-US"/>
        </w:rPr>
        <w:t>)</w:t>
      </w:r>
      <w:r>
        <w:rPr>
          <w:rFonts w:ascii="Garamond" w:hAnsi="Garamond"/>
          <w:sz w:val="26"/>
          <w:szCs w:val="26"/>
          <w:lang w:val="en-US"/>
        </w:rPr>
        <w:t>, which are measured under light excess.</w:t>
      </w:r>
      <w:r w:rsidR="00032D99">
        <w:rPr>
          <w:rFonts w:ascii="Garamond" w:hAnsi="Garamond"/>
          <w:sz w:val="26"/>
          <w:szCs w:val="26"/>
          <w:lang w:val="en-US"/>
        </w:rPr>
        <w:t xml:space="preserve">  Dr. Alexandra Holland’s controversial approach proposes to select strains for high </w:t>
      </w:r>
      <w:r w:rsidR="00E70D98">
        <w:rPr>
          <w:rFonts w:ascii="Garamond" w:hAnsi="Garamond"/>
          <w:sz w:val="26"/>
          <w:szCs w:val="26"/>
          <w:lang w:val="en-US"/>
        </w:rPr>
        <w:t>growth yields Φ under light limitation</w:t>
      </w:r>
      <w:r w:rsidR="0055318D">
        <w:rPr>
          <w:rFonts w:ascii="Garamond" w:hAnsi="Garamond"/>
          <w:sz w:val="26"/>
          <w:szCs w:val="26"/>
          <w:lang w:val="en-US"/>
        </w:rPr>
        <w:t xml:space="preserve"> (</w:t>
      </w:r>
      <w:r w:rsidR="00FA480A">
        <w:rPr>
          <w:rFonts w:ascii="Garamond" w:hAnsi="Garamond"/>
          <w:sz w:val="26"/>
          <w:szCs w:val="26"/>
          <w:lang w:val="en-US"/>
        </w:rPr>
        <w:t>“</w:t>
      </w:r>
      <w:r w:rsidR="0055318D">
        <w:rPr>
          <w:rFonts w:ascii="Garamond" w:hAnsi="Garamond"/>
          <w:sz w:val="26"/>
          <w:szCs w:val="26"/>
          <w:lang w:val="en-US"/>
        </w:rPr>
        <w:t>efficiency</w:t>
      </w:r>
      <w:r w:rsidR="00FA480A">
        <w:rPr>
          <w:rFonts w:ascii="Garamond" w:hAnsi="Garamond"/>
          <w:sz w:val="26"/>
          <w:szCs w:val="26"/>
          <w:lang w:val="en-US"/>
        </w:rPr>
        <w:t>”</w:t>
      </w:r>
      <w:r w:rsidR="0055318D">
        <w:rPr>
          <w:rFonts w:ascii="Garamond" w:hAnsi="Garamond"/>
          <w:sz w:val="26"/>
          <w:szCs w:val="26"/>
          <w:lang w:val="en-US"/>
        </w:rPr>
        <w:t>)</w:t>
      </w:r>
      <w:r w:rsidR="00E70D98">
        <w:rPr>
          <w:rFonts w:ascii="Garamond" w:hAnsi="Garamond"/>
          <w:sz w:val="26"/>
          <w:szCs w:val="26"/>
          <w:lang w:val="en-US"/>
        </w:rPr>
        <w:t>.</w:t>
      </w:r>
      <w:r w:rsidR="0055318D">
        <w:rPr>
          <w:rFonts w:ascii="Garamond" w:hAnsi="Garamond"/>
          <w:sz w:val="26"/>
          <w:szCs w:val="26"/>
          <w:lang w:val="en-US"/>
        </w:rPr>
        <w:t xml:space="preserve">  Importantly, just as speed and efficiency are not correlated in natural systems, µ and Φ are not correlated (Holland’s published experimental results, and theoretical derivation by </w:t>
      </w:r>
      <w:r w:rsidR="0055318D" w:rsidRPr="0055318D">
        <w:rPr>
          <w:rFonts w:ascii="Garamond" w:hAnsi="Garamond"/>
          <w:sz w:val="26"/>
          <w:szCs w:val="26"/>
          <w:lang w:val="en-US"/>
        </w:rPr>
        <w:t xml:space="preserve">Wong et al. </w:t>
      </w:r>
      <w:r w:rsidR="0055318D">
        <w:rPr>
          <w:rFonts w:ascii="Garamond" w:hAnsi="Garamond"/>
          <w:sz w:val="26"/>
          <w:szCs w:val="26"/>
          <w:lang w:val="en-US"/>
        </w:rPr>
        <w:t xml:space="preserve">2009 </w:t>
      </w:r>
      <w:r w:rsidR="0055318D" w:rsidRPr="0055318D">
        <w:rPr>
          <w:rFonts w:ascii="Garamond" w:hAnsi="Garamond"/>
          <w:sz w:val="26"/>
          <w:szCs w:val="26"/>
          <w:lang w:val="en-US"/>
        </w:rPr>
        <w:t>Bio</w:t>
      </w:r>
      <w:r w:rsidR="0055318D">
        <w:rPr>
          <w:rFonts w:ascii="Garamond" w:hAnsi="Garamond"/>
          <w:sz w:val="26"/>
          <w:szCs w:val="26"/>
          <w:lang w:val="en-US"/>
        </w:rPr>
        <w:t xml:space="preserve">techol and Bioengineering. </w:t>
      </w:r>
      <w:r w:rsidR="0055318D" w:rsidRPr="0055318D">
        <w:rPr>
          <w:rFonts w:ascii="Garamond" w:hAnsi="Garamond"/>
          <w:sz w:val="26"/>
          <w:szCs w:val="26"/>
          <w:lang w:val="en-US"/>
        </w:rPr>
        <w:t>102:73</w:t>
      </w:r>
      <w:r w:rsidR="0055318D">
        <w:rPr>
          <w:rFonts w:ascii="Garamond" w:hAnsi="Garamond"/>
          <w:sz w:val="26"/>
          <w:szCs w:val="26"/>
          <w:lang w:val="en-US"/>
        </w:rPr>
        <w:t>).</w:t>
      </w:r>
    </w:p>
    <w:p w:rsidR="0055318D" w:rsidRDefault="0055318D" w:rsidP="00425E0C">
      <w:pPr>
        <w:ind w:left="360"/>
        <w:jc w:val="center"/>
        <w:rPr>
          <w:rFonts w:ascii="Garamond" w:hAnsi="Garamond"/>
          <w:sz w:val="26"/>
          <w:szCs w:val="26"/>
          <w:lang w:val="en-US"/>
        </w:rPr>
      </w:pPr>
      <w:r>
        <w:rPr>
          <w:rFonts w:ascii="Garamond" w:hAnsi="Garamond"/>
          <w:noProof/>
          <w:sz w:val="26"/>
          <w:szCs w:val="26"/>
          <w:lang w:val="en-US"/>
        </w:rPr>
        <w:drawing>
          <wp:inline distT="0" distB="0" distL="0" distR="0" wp14:anchorId="437DA4B9">
            <wp:extent cx="5029155" cy="178232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346"/>
                    <a:stretch/>
                  </pic:blipFill>
                  <pic:spPr bwMode="auto">
                    <a:xfrm>
                      <a:off x="0" y="0"/>
                      <a:ext cx="5029200" cy="1782341"/>
                    </a:xfrm>
                    <a:prstGeom prst="rect">
                      <a:avLst/>
                    </a:prstGeom>
                    <a:noFill/>
                    <a:ln>
                      <a:noFill/>
                    </a:ln>
                    <a:extLst>
                      <a:ext uri="{53640926-AAD7-44D8-BBD7-CCE9431645EC}">
                        <a14:shadowObscured xmlns:a14="http://schemas.microsoft.com/office/drawing/2010/main"/>
                      </a:ext>
                    </a:extLst>
                  </pic:spPr>
                </pic:pic>
              </a:graphicData>
            </a:graphic>
          </wp:inline>
        </w:drawing>
      </w:r>
    </w:p>
    <w:p w:rsidR="00173B0C" w:rsidRDefault="00B45BBF" w:rsidP="00560AB5">
      <w:pPr>
        <w:ind w:left="360"/>
        <w:rPr>
          <w:rFonts w:ascii="Garamond" w:hAnsi="Garamond"/>
          <w:sz w:val="26"/>
          <w:szCs w:val="26"/>
          <w:lang w:val="en-US"/>
        </w:rPr>
      </w:pPr>
      <w:r>
        <w:rPr>
          <w:rFonts w:ascii="Garamond" w:hAnsi="Garamond"/>
          <w:sz w:val="26"/>
          <w:szCs w:val="26"/>
          <w:lang w:val="en-US"/>
        </w:rPr>
        <w:t xml:space="preserve">However, the Chemical Engineering yield-based model only holds under low light, which corresponds to low photon flux per cell.  Indeed, </w:t>
      </w:r>
      <w:r w:rsidR="002065CA">
        <w:rPr>
          <w:rFonts w:ascii="Garamond" w:hAnsi="Garamond"/>
          <w:sz w:val="26"/>
          <w:szCs w:val="26"/>
          <w:lang w:val="en-US"/>
        </w:rPr>
        <w:t>algal physiologists have widely documented that yield decreases with increasing irradiance, at levels much below direct sunlight.  So how can the Chemical Engineering model hold under outdoor or high intensity settings?</w:t>
      </w:r>
    </w:p>
    <w:p w:rsidR="00C972BA" w:rsidRDefault="00C972BA" w:rsidP="00C972BA">
      <w:pPr>
        <w:pStyle w:val="Heading3"/>
        <w:numPr>
          <w:ilvl w:val="0"/>
          <w:numId w:val="7"/>
        </w:numPr>
        <w:spacing w:before="0" w:after="120"/>
        <w:rPr>
          <w:color w:val="149346"/>
          <w:lang w:val="en-US"/>
        </w:rPr>
      </w:pPr>
      <w:bookmarkStart w:id="6" w:name="_Toc403474321"/>
      <w:r>
        <w:rPr>
          <w:color w:val="149346"/>
          <w:lang w:val="en-US"/>
        </w:rPr>
        <w:t>PIARCS’ solutions</w:t>
      </w:r>
      <w:bookmarkEnd w:id="6"/>
    </w:p>
    <w:p w:rsidR="00524AEA" w:rsidRDefault="00DD3138" w:rsidP="00C972BA">
      <w:pPr>
        <w:ind w:left="360"/>
        <w:rPr>
          <w:rFonts w:ascii="Garamond" w:hAnsi="Garamond"/>
          <w:sz w:val="26"/>
          <w:szCs w:val="26"/>
          <w:lang w:val="en-US"/>
        </w:rPr>
      </w:pPr>
      <w:r>
        <w:rPr>
          <w:rFonts w:ascii="Garamond" w:hAnsi="Garamond"/>
          <w:sz w:val="26"/>
          <w:szCs w:val="26"/>
          <w:lang w:val="en-US"/>
        </w:rPr>
        <w:t xml:space="preserve">Dr. </w:t>
      </w:r>
      <w:r w:rsidR="000636DB">
        <w:rPr>
          <w:rFonts w:ascii="Garamond" w:hAnsi="Garamond"/>
          <w:sz w:val="26"/>
          <w:szCs w:val="26"/>
          <w:lang w:val="en-US"/>
        </w:rPr>
        <w:t xml:space="preserve">Holland proposes </w:t>
      </w:r>
      <w:r w:rsidR="00E50F52">
        <w:rPr>
          <w:rFonts w:ascii="Garamond" w:hAnsi="Garamond"/>
          <w:sz w:val="26"/>
          <w:szCs w:val="26"/>
          <w:lang w:val="en-US"/>
        </w:rPr>
        <w:t>an interdisciplinary approach to ensure low photon flux per cell under elevated irradiances</w:t>
      </w:r>
      <w:r w:rsidR="00524AEA">
        <w:rPr>
          <w:rFonts w:ascii="Garamond" w:hAnsi="Garamond"/>
          <w:sz w:val="26"/>
          <w:szCs w:val="26"/>
          <w:lang w:val="en-US"/>
        </w:rPr>
        <w:t xml:space="preserve"> such as in outdoor ponds</w:t>
      </w:r>
      <w:r w:rsidR="00E50F52">
        <w:rPr>
          <w:rFonts w:ascii="Garamond" w:hAnsi="Garamond"/>
          <w:sz w:val="26"/>
          <w:szCs w:val="26"/>
          <w:lang w:val="en-US"/>
        </w:rPr>
        <w:t>.</w:t>
      </w:r>
      <w:r w:rsidR="00524AEA">
        <w:rPr>
          <w:rFonts w:ascii="Garamond" w:hAnsi="Garamond"/>
          <w:sz w:val="26"/>
          <w:szCs w:val="26"/>
          <w:lang w:val="en-US"/>
        </w:rPr>
        <w:t xml:space="preserve">   This condition is essential to not only ensure the validity of the simple Φ-based model, it also ensures maximum biomass productivities.  Indeed, under low photon flux per cell, each incident photon is absorbed by the algal particle and metabolized to produce biomass.</w:t>
      </w:r>
    </w:p>
    <w:p w:rsidR="00C972BA" w:rsidRDefault="00524AEA" w:rsidP="00C972BA">
      <w:pPr>
        <w:ind w:left="360"/>
        <w:rPr>
          <w:rFonts w:ascii="Garamond" w:hAnsi="Garamond"/>
          <w:sz w:val="26"/>
          <w:szCs w:val="26"/>
          <w:lang w:val="en-US"/>
        </w:rPr>
      </w:pPr>
      <w:r>
        <w:rPr>
          <w:rFonts w:ascii="Garamond" w:hAnsi="Garamond"/>
          <w:sz w:val="26"/>
          <w:szCs w:val="26"/>
          <w:lang w:val="en-US"/>
        </w:rPr>
        <w:t>The “low photon flux per cell” (LPFC) condition relies on the algal physiology understanding of the kinetics of energy transfer from photon</w:t>
      </w:r>
      <w:r w:rsidR="0077022F">
        <w:rPr>
          <w:rFonts w:ascii="Garamond" w:hAnsi="Garamond"/>
          <w:sz w:val="26"/>
          <w:szCs w:val="26"/>
          <w:lang w:val="en-US"/>
        </w:rPr>
        <w:t xml:space="preserve"> energy to energy-rich biomass.  </w:t>
      </w:r>
      <w:r>
        <w:rPr>
          <w:rFonts w:ascii="Garamond" w:hAnsi="Garamond"/>
          <w:sz w:val="26"/>
          <w:szCs w:val="26"/>
          <w:lang w:val="en-US"/>
        </w:rPr>
        <w:t>The satisfaction of this LPFC condition in a bioreactor relies on the Engineering design o</w:t>
      </w:r>
      <w:r w:rsidR="0077022F">
        <w:rPr>
          <w:rFonts w:ascii="Garamond" w:hAnsi="Garamond"/>
          <w:sz w:val="26"/>
          <w:szCs w:val="26"/>
          <w:lang w:val="en-US"/>
        </w:rPr>
        <w:t xml:space="preserve">f suitable flow patterns, which is the object of a PIARCS’ WO patent currently in progress with </w:t>
      </w:r>
      <w:r w:rsidR="0077022F" w:rsidRPr="0077022F">
        <w:rPr>
          <w:rFonts w:ascii="Garamond" w:hAnsi="Garamond"/>
          <w:sz w:val="26"/>
          <w:szCs w:val="26"/>
          <w:lang w:val="en-US"/>
        </w:rPr>
        <w:t>Ross Breyfogle at Marsh Fischman Breyfogle LLP</w:t>
      </w:r>
      <w:r w:rsidR="0077022F">
        <w:rPr>
          <w:rFonts w:ascii="Garamond" w:hAnsi="Garamond"/>
          <w:sz w:val="26"/>
          <w:szCs w:val="26"/>
          <w:lang w:val="en-US"/>
        </w:rPr>
        <w:t>.</w:t>
      </w:r>
    </w:p>
    <w:p w:rsidR="00D538A2" w:rsidRPr="00D538A2" w:rsidRDefault="00D538A2" w:rsidP="00C972BA">
      <w:pPr>
        <w:ind w:left="360"/>
        <w:rPr>
          <w:rFonts w:ascii="Garamond" w:hAnsi="Garamond"/>
          <w:sz w:val="26"/>
          <w:szCs w:val="26"/>
          <w:lang w:val="en-US"/>
        </w:rPr>
      </w:pPr>
      <w:r w:rsidRPr="00D538A2">
        <w:rPr>
          <w:rFonts w:ascii="Garamond" w:hAnsi="Garamond"/>
          <w:sz w:val="26"/>
          <w:szCs w:val="26"/>
          <w:lang w:val="en-US"/>
        </w:rPr>
        <w:t>PIARCS’ IP delivers projected lipid productivities on the order of 7,500 gal acre</w:t>
      </w:r>
      <w:r w:rsidRPr="00D538A2">
        <w:rPr>
          <w:rFonts w:ascii="Garamond" w:hAnsi="Garamond"/>
          <w:sz w:val="26"/>
          <w:szCs w:val="26"/>
          <w:vertAlign w:val="superscript"/>
          <w:lang w:val="en-US"/>
        </w:rPr>
        <w:t>-1</w:t>
      </w:r>
      <w:r w:rsidRPr="00D538A2">
        <w:rPr>
          <w:rFonts w:ascii="Garamond" w:hAnsi="Garamond"/>
          <w:sz w:val="26"/>
          <w:szCs w:val="26"/>
          <w:lang w:val="en-US"/>
        </w:rPr>
        <w:t xml:space="preserve"> y</w:t>
      </w:r>
      <w:r w:rsidRPr="00D538A2">
        <w:rPr>
          <w:rFonts w:ascii="Garamond" w:hAnsi="Garamond"/>
          <w:sz w:val="26"/>
          <w:szCs w:val="26"/>
          <w:vertAlign w:val="superscript"/>
          <w:lang w:val="en-US"/>
        </w:rPr>
        <w:t>-1</w:t>
      </w:r>
      <w:r w:rsidRPr="00D538A2">
        <w:rPr>
          <w:rFonts w:ascii="Garamond" w:hAnsi="Garamond"/>
          <w:sz w:val="26"/>
          <w:szCs w:val="26"/>
          <w:lang w:val="en-US"/>
        </w:rPr>
        <w:t xml:space="preserve"> for average yearly irradiances of 390 µE m</w:t>
      </w:r>
      <w:r w:rsidRPr="00D538A2">
        <w:rPr>
          <w:rFonts w:ascii="Garamond" w:hAnsi="Garamond"/>
          <w:sz w:val="26"/>
          <w:szCs w:val="26"/>
          <w:vertAlign w:val="superscript"/>
          <w:lang w:val="en-US"/>
        </w:rPr>
        <w:t>-2</w:t>
      </w:r>
      <w:r w:rsidRPr="00D538A2">
        <w:rPr>
          <w:rFonts w:ascii="Garamond" w:hAnsi="Garamond"/>
          <w:sz w:val="26"/>
          <w:szCs w:val="26"/>
          <w:lang w:val="en-US"/>
        </w:rPr>
        <w:t xml:space="preserve"> s</w:t>
      </w:r>
      <w:r w:rsidRPr="00D538A2">
        <w:rPr>
          <w:rFonts w:ascii="Garamond" w:hAnsi="Garamond"/>
          <w:sz w:val="26"/>
          <w:szCs w:val="26"/>
          <w:vertAlign w:val="superscript"/>
          <w:lang w:val="en-US"/>
        </w:rPr>
        <w:t>-1</w:t>
      </w:r>
      <w:r w:rsidRPr="00D538A2">
        <w:rPr>
          <w:rFonts w:ascii="Garamond" w:hAnsi="Garamond"/>
          <w:sz w:val="26"/>
          <w:szCs w:val="26"/>
          <w:lang w:val="en-US"/>
        </w:rPr>
        <w:t xml:space="preserve"> in such as in Southern CA (for 25% harvestable lipids).  </w:t>
      </w:r>
    </w:p>
    <w:p w:rsidR="00D538A2" w:rsidRPr="00D538A2" w:rsidRDefault="00D538A2" w:rsidP="00F0764D">
      <w:pPr>
        <w:spacing w:after="0"/>
        <w:ind w:left="360"/>
        <w:rPr>
          <w:rFonts w:ascii="Garamond" w:hAnsi="Garamond"/>
          <w:sz w:val="26"/>
          <w:szCs w:val="26"/>
          <w:lang w:val="en-US"/>
        </w:rPr>
      </w:pPr>
      <w:r w:rsidRPr="00D538A2">
        <w:rPr>
          <w:rFonts w:ascii="Garamond" w:hAnsi="Garamond"/>
          <w:noProof/>
          <w:sz w:val="26"/>
          <w:szCs w:val="26"/>
          <w:lang w:val="en-US"/>
        </w:rPr>
        <w:drawing>
          <wp:inline distT="0" distB="0" distL="0" distR="0" wp14:anchorId="7384D84A">
            <wp:extent cx="4937760" cy="1414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37760" cy="1414831"/>
                    </a:xfrm>
                    <a:prstGeom prst="rect">
                      <a:avLst/>
                    </a:prstGeom>
                    <a:noFill/>
                  </pic:spPr>
                </pic:pic>
              </a:graphicData>
            </a:graphic>
          </wp:inline>
        </w:drawing>
      </w:r>
    </w:p>
    <w:p w:rsidR="00D538A2" w:rsidRPr="00F0764D" w:rsidRDefault="00D538A2" w:rsidP="00F0764D">
      <w:pPr>
        <w:spacing w:after="0"/>
        <w:ind w:left="360"/>
        <w:rPr>
          <w:rFonts w:ascii="Garamond" w:hAnsi="Garamond"/>
          <w:lang w:val="en-US"/>
        </w:rPr>
      </w:pPr>
      <w:r w:rsidRPr="00F0764D">
        <w:rPr>
          <w:rFonts w:ascii="Garamond" w:hAnsi="Garamond"/>
          <w:vertAlign w:val="superscript"/>
          <w:lang w:val="en-US"/>
        </w:rPr>
        <w:t>†</w:t>
      </w:r>
      <w:r w:rsidRPr="00F0764D">
        <w:rPr>
          <w:rFonts w:ascii="Garamond" w:hAnsi="Garamond"/>
          <w:lang w:val="en-US"/>
        </w:rPr>
        <w:t>http://www.nrel.gov/docs/legosti/old/5607.pdf</w:t>
      </w:r>
    </w:p>
    <w:p w:rsidR="00D538A2" w:rsidRPr="00D538A2" w:rsidRDefault="00D538A2" w:rsidP="00F0764D">
      <w:pPr>
        <w:spacing w:after="0"/>
        <w:ind w:left="360"/>
        <w:rPr>
          <w:rFonts w:ascii="Garamond" w:hAnsi="Garamond"/>
          <w:sz w:val="26"/>
          <w:szCs w:val="26"/>
          <w:lang w:val="en-US"/>
        </w:rPr>
      </w:pPr>
      <w:r w:rsidRPr="00F0764D">
        <w:rPr>
          <w:rFonts w:ascii="Garamond" w:hAnsi="Garamond"/>
          <w:b/>
          <w:sz w:val="26"/>
          <w:szCs w:val="26"/>
          <w:lang w:val="en-US"/>
        </w:rPr>
        <w:t>Table 1</w:t>
      </w:r>
      <w:r w:rsidRPr="00D538A2">
        <w:rPr>
          <w:rFonts w:ascii="Garamond" w:hAnsi="Garamond"/>
          <w:sz w:val="26"/>
          <w:szCs w:val="26"/>
          <w:lang w:val="en-US"/>
        </w:rPr>
        <w:t>. Projected algal biofuel (lipids) productivities</w:t>
      </w:r>
    </w:p>
    <w:p w:rsidR="00D538A2" w:rsidRDefault="00F0764D" w:rsidP="00C972BA">
      <w:pPr>
        <w:ind w:left="360"/>
        <w:rPr>
          <w:rFonts w:ascii="Garamond" w:hAnsi="Garamond"/>
          <w:sz w:val="26"/>
          <w:szCs w:val="26"/>
          <w:lang w:val="en-US"/>
        </w:rPr>
      </w:pPr>
      <w:r>
        <w:rPr>
          <w:rFonts w:ascii="Garamond" w:hAnsi="Garamond"/>
          <w:sz w:val="26"/>
          <w:szCs w:val="26"/>
          <w:lang w:val="en-US"/>
        </w:rPr>
        <w:t>Such productivities</w:t>
      </w:r>
      <w:r w:rsidRPr="00D538A2">
        <w:rPr>
          <w:rFonts w:ascii="Garamond" w:hAnsi="Garamond"/>
          <w:sz w:val="26"/>
          <w:szCs w:val="26"/>
          <w:lang w:val="en-US"/>
        </w:rPr>
        <w:t xml:space="preserve"> would satisfy US transportation needs by covering 29 million acres (1.55 % mainland US).</w:t>
      </w:r>
    </w:p>
    <w:p w:rsidR="00F0764D" w:rsidRDefault="007B61BA" w:rsidP="007B61BA">
      <w:pPr>
        <w:ind w:left="360"/>
        <w:rPr>
          <w:rFonts w:ascii="Garamond" w:hAnsi="Garamond"/>
          <w:sz w:val="26"/>
          <w:szCs w:val="26"/>
          <w:lang w:val="en-US"/>
        </w:rPr>
      </w:pPr>
      <w:r>
        <w:rPr>
          <w:rFonts w:ascii="Garamond" w:hAnsi="Garamond"/>
          <w:sz w:val="26"/>
          <w:szCs w:val="26"/>
          <w:lang w:val="en-US"/>
        </w:rPr>
        <w:t>Biodiesel prices are a</w:t>
      </w:r>
      <w:r w:rsidRPr="007B61BA">
        <w:rPr>
          <w:rFonts w:ascii="Garamond" w:hAnsi="Garamond"/>
          <w:sz w:val="26"/>
          <w:szCs w:val="26"/>
          <w:lang w:val="en-US"/>
        </w:rPr>
        <w:t xml:space="preserve"> function of nutrients management</w:t>
      </w:r>
      <w:r>
        <w:rPr>
          <w:rFonts w:ascii="Garamond" w:hAnsi="Garamond"/>
          <w:sz w:val="26"/>
          <w:szCs w:val="26"/>
          <w:lang w:val="en-US"/>
        </w:rPr>
        <w:t xml:space="preserve">. </w:t>
      </w:r>
      <w:r w:rsidRPr="007B61BA">
        <w:rPr>
          <w:rFonts w:ascii="Garamond" w:hAnsi="Garamond"/>
          <w:sz w:val="26"/>
          <w:szCs w:val="26"/>
          <w:lang w:val="en-US"/>
        </w:rPr>
        <w:t xml:space="preserve"> Based</w:t>
      </w:r>
      <w:r>
        <w:rPr>
          <w:rFonts w:ascii="Garamond" w:hAnsi="Garamond"/>
          <w:sz w:val="26"/>
          <w:szCs w:val="26"/>
          <w:lang w:val="en-US"/>
        </w:rPr>
        <w:t xml:space="preserve"> </w:t>
      </w:r>
      <w:r w:rsidRPr="007B61BA">
        <w:rPr>
          <w:rFonts w:ascii="Garamond" w:hAnsi="Garamond"/>
          <w:sz w:val="26"/>
          <w:szCs w:val="26"/>
          <w:lang w:val="en-US"/>
        </w:rPr>
        <w:t xml:space="preserve">on the NREL </w:t>
      </w:r>
      <w:r>
        <w:rPr>
          <w:rFonts w:ascii="Garamond" w:hAnsi="Garamond"/>
          <w:sz w:val="26"/>
          <w:szCs w:val="26"/>
          <w:lang w:val="en-US"/>
        </w:rPr>
        <w:t xml:space="preserve">financial </w:t>
      </w:r>
      <w:r w:rsidRPr="007B61BA">
        <w:rPr>
          <w:rFonts w:ascii="Garamond" w:hAnsi="Garamond"/>
          <w:sz w:val="26"/>
          <w:szCs w:val="26"/>
          <w:lang w:val="en-US"/>
        </w:rPr>
        <w:t xml:space="preserve">analysis </w:t>
      </w:r>
      <w:r>
        <w:rPr>
          <w:rFonts w:ascii="Garamond" w:hAnsi="Garamond"/>
          <w:sz w:val="26"/>
          <w:szCs w:val="26"/>
          <w:lang w:val="en-US"/>
        </w:rPr>
        <w:t xml:space="preserve">by </w:t>
      </w:r>
      <w:r w:rsidRPr="007B61BA">
        <w:rPr>
          <w:rFonts w:ascii="Garamond" w:hAnsi="Garamond"/>
          <w:sz w:val="26"/>
          <w:szCs w:val="26"/>
          <w:lang w:val="en-US"/>
        </w:rPr>
        <w:t>Davis et al. 2011</w:t>
      </w:r>
      <w:r>
        <w:rPr>
          <w:rFonts w:ascii="Garamond" w:hAnsi="Garamond"/>
          <w:sz w:val="26"/>
          <w:szCs w:val="26"/>
          <w:lang w:val="en-US"/>
        </w:rPr>
        <w:t xml:space="preserve"> (Applied Energy issue 88</w:t>
      </w:r>
      <w:r w:rsidRPr="007B61BA">
        <w:rPr>
          <w:rFonts w:ascii="Garamond" w:hAnsi="Garamond"/>
          <w:sz w:val="26"/>
          <w:szCs w:val="26"/>
          <w:lang w:val="en-US"/>
        </w:rPr>
        <w:t>; pp. 3524–3531</w:t>
      </w:r>
      <w:r>
        <w:rPr>
          <w:rFonts w:ascii="Garamond" w:hAnsi="Garamond"/>
          <w:sz w:val="26"/>
          <w:szCs w:val="26"/>
          <w:lang w:val="en-US"/>
        </w:rPr>
        <w:t xml:space="preserve">), and assuming </w:t>
      </w:r>
      <w:r w:rsidRPr="007B61BA">
        <w:rPr>
          <w:rFonts w:ascii="Garamond" w:hAnsi="Garamond"/>
          <w:sz w:val="26"/>
          <w:szCs w:val="26"/>
          <w:lang w:val="en-US"/>
        </w:rPr>
        <w:t>50% scalable operating costs and 10% IRR over 20-year</w:t>
      </w:r>
      <w:r>
        <w:rPr>
          <w:rFonts w:ascii="Garamond" w:hAnsi="Garamond"/>
          <w:sz w:val="26"/>
          <w:szCs w:val="26"/>
          <w:lang w:val="en-US"/>
        </w:rPr>
        <w:t>, the following prices were calculated (Figure 1).</w:t>
      </w:r>
    </w:p>
    <w:p w:rsidR="007B61BA" w:rsidRDefault="0062550B" w:rsidP="00C72DCD">
      <w:pPr>
        <w:ind w:left="360"/>
        <w:jc w:val="center"/>
        <w:rPr>
          <w:rFonts w:ascii="Garamond" w:hAnsi="Garamond"/>
          <w:sz w:val="26"/>
          <w:szCs w:val="26"/>
          <w:lang w:val="en-US"/>
        </w:rPr>
      </w:pPr>
      <w:r>
        <w:rPr>
          <w:rFonts w:ascii="Garamond" w:hAnsi="Garamond"/>
          <w:noProof/>
          <w:sz w:val="26"/>
          <w:szCs w:val="26"/>
          <w:lang w:val="en-US"/>
        </w:rPr>
        <w:drawing>
          <wp:inline distT="0" distB="0" distL="0" distR="0" wp14:anchorId="1C431DB1">
            <wp:extent cx="3590925" cy="272487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3099" cy="2726529"/>
                    </a:xfrm>
                    <a:prstGeom prst="rect">
                      <a:avLst/>
                    </a:prstGeom>
                    <a:noFill/>
                  </pic:spPr>
                </pic:pic>
              </a:graphicData>
            </a:graphic>
          </wp:inline>
        </w:drawing>
      </w:r>
    </w:p>
    <w:p w:rsidR="00F0764D" w:rsidRDefault="007B61BA" w:rsidP="0062550B">
      <w:pPr>
        <w:ind w:left="360"/>
        <w:rPr>
          <w:rFonts w:ascii="Garamond" w:hAnsi="Garamond"/>
          <w:sz w:val="26"/>
          <w:szCs w:val="26"/>
          <w:lang w:val="en-US"/>
        </w:rPr>
      </w:pPr>
      <w:r w:rsidRPr="007B61BA">
        <w:rPr>
          <w:rFonts w:ascii="Garamond" w:hAnsi="Garamond"/>
          <w:b/>
          <w:sz w:val="26"/>
          <w:szCs w:val="26"/>
          <w:lang w:val="en-US"/>
        </w:rPr>
        <w:t>Figure 1</w:t>
      </w:r>
      <w:r w:rsidRPr="007B61BA">
        <w:rPr>
          <w:rFonts w:ascii="Garamond" w:hAnsi="Garamond"/>
          <w:sz w:val="26"/>
          <w:szCs w:val="26"/>
          <w:lang w:val="en-US"/>
        </w:rPr>
        <w:t>. Projected biodiesel</w:t>
      </w:r>
      <w:r w:rsidR="00425E0C">
        <w:rPr>
          <w:rFonts w:ascii="Garamond" w:hAnsi="Garamond"/>
          <w:sz w:val="26"/>
          <w:szCs w:val="26"/>
          <w:lang w:val="en-US"/>
        </w:rPr>
        <w:t xml:space="preserve"> production</w:t>
      </w:r>
      <w:r w:rsidRPr="007B61BA">
        <w:rPr>
          <w:rFonts w:ascii="Garamond" w:hAnsi="Garamond"/>
          <w:sz w:val="26"/>
          <w:szCs w:val="26"/>
          <w:lang w:val="en-US"/>
        </w:rPr>
        <w:t xml:space="preserve"> prices a</w:t>
      </w:r>
      <w:r>
        <w:rPr>
          <w:rFonts w:ascii="Garamond" w:hAnsi="Garamond"/>
          <w:sz w:val="26"/>
          <w:szCs w:val="26"/>
          <w:lang w:val="en-US"/>
        </w:rPr>
        <w:t xml:space="preserve">s a function of </w:t>
      </w:r>
      <w:r w:rsidRPr="007B61BA">
        <w:rPr>
          <w:rFonts w:ascii="Garamond" w:hAnsi="Garamond"/>
          <w:sz w:val="26"/>
          <w:szCs w:val="26"/>
          <w:lang w:val="en-US"/>
        </w:rPr>
        <w:t>nutrients recycling</w:t>
      </w:r>
      <w:r w:rsidR="0062550B">
        <w:rPr>
          <w:rFonts w:ascii="Garamond" w:hAnsi="Garamond"/>
          <w:sz w:val="26"/>
          <w:szCs w:val="26"/>
          <w:lang w:val="en-US"/>
        </w:rPr>
        <w:t xml:space="preserve"> for a reference irradiance of 4.8 kWh m</w:t>
      </w:r>
      <w:r w:rsidR="0062550B" w:rsidRPr="0062550B">
        <w:rPr>
          <w:rFonts w:ascii="Garamond" w:hAnsi="Garamond"/>
          <w:sz w:val="26"/>
          <w:szCs w:val="26"/>
          <w:vertAlign w:val="superscript"/>
          <w:lang w:val="en-US"/>
        </w:rPr>
        <w:t>-2</w:t>
      </w:r>
      <w:r w:rsidR="0062550B">
        <w:rPr>
          <w:rFonts w:ascii="Garamond" w:hAnsi="Garamond"/>
          <w:sz w:val="26"/>
          <w:szCs w:val="26"/>
          <w:lang w:val="en-US"/>
        </w:rPr>
        <w:t xml:space="preserve"> d</w:t>
      </w:r>
      <w:r w:rsidR="0062550B" w:rsidRPr="0062550B">
        <w:rPr>
          <w:rFonts w:ascii="Garamond" w:hAnsi="Garamond"/>
          <w:sz w:val="26"/>
          <w:szCs w:val="26"/>
          <w:vertAlign w:val="superscript"/>
          <w:lang w:val="en-US"/>
        </w:rPr>
        <w:t>-1</w:t>
      </w:r>
      <w:r w:rsidR="0062550B">
        <w:rPr>
          <w:rFonts w:ascii="Garamond" w:hAnsi="Garamond"/>
          <w:sz w:val="26"/>
          <w:szCs w:val="26"/>
          <w:lang w:val="en-US"/>
        </w:rPr>
        <w:t xml:space="preserve"> (yearly average, Southern half of the US).  “Intermediate NP” recycling corresponds to 37% phosphorus and 68% nitrogen</w:t>
      </w:r>
      <w:r w:rsidR="0062550B" w:rsidRPr="0062550B">
        <w:rPr>
          <w:rFonts w:ascii="Garamond" w:hAnsi="Garamond"/>
          <w:sz w:val="26"/>
          <w:szCs w:val="26"/>
          <w:lang w:val="en-US"/>
        </w:rPr>
        <w:t xml:space="preserve"> recycled</w:t>
      </w:r>
      <w:r w:rsidR="0062550B">
        <w:rPr>
          <w:rFonts w:ascii="Garamond" w:hAnsi="Garamond"/>
          <w:sz w:val="26"/>
          <w:szCs w:val="26"/>
          <w:lang w:val="en-US"/>
        </w:rPr>
        <w:t>.</w:t>
      </w:r>
    </w:p>
    <w:p w:rsidR="007B61BA" w:rsidRPr="007B61BA" w:rsidRDefault="007B61BA" w:rsidP="00C972BA">
      <w:pPr>
        <w:ind w:left="360"/>
        <w:rPr>
          <w:rFonts w:ascii="Garamond" w:hAnsi="Garamond"/>
          <w:sz w:val="26"/>
          <w:szCs w:val="26"/>
          <w:lang w:val="en-US"/>
        </w:rPr>
      </w:pPr>
    </w:p>
    <w:p w:rsidR="00C972BA" w:rsidRDefault="00C972BA" w:rsidP="00C972BA">
      <w:pPr>
        <w:pStyle w:val="Heading3"/>
        <w:numPr>
          <w:ilvl w:val="0"/>
          <w:numId w:val="7"/>
        </w:numPr>
        <w:spacing w:before="0" w:after="120"/>
        <w:rPr>
          <w:color w:val="149346"/>
          <w:lang w:val="en-US"/>
        </w:rPr>
      </w:pPr>
      <w:bookmarkStart w:id="7" w:name="_Toc403474322"/>
      <w:r>
        <w:rPr>
          <w:color w:val="149346"/>
          <w:lang w:val="en-US"/>
        </w:rPr>
        <w:t>PIARCS’s already mature IP</w:t>
      </w:r>
      <w:bookmarkEnd w:id="7"/>
    </w:p>
    <w:p w:rsidR="00E66ECD" w:rsidRDefault="00E66ECD" w:rsidP="00C44AEC">
      <w:pPr>
        <w:spacing w:after="60"/>
        <w:ind w:left="360"/>
        <w:rPr>
          <w:rFonts w:ascii="Garamond" w:hAnsi="Garamond"/>
          <w:sz w:val="26"/>
          <w:szCs w:val="26"/>
          <w:lang w:val="en-US"/>
        </w:rPr>
      </w:pPr>
      <w:r>
        <w:rPr>
          <w:rFonts w:ascii="Garamond" w:hAnsi="Garamond"/>
          <w:sz w:val="26"/>
          <w:szCs w:val="26"/>
          <w:lang w:val="en-US"/>
        </w:rPr>
        <w:t>Prior to founding PIARCS, Dr. Alexandra Holland has laid the scientific foundations</w:t>
      </w:r>
      <w:r w:rsidR="0062787C">
        <w:rPr>
          <w:rFonts w:ascii="Garamond" w:hAnsi="Garamond"/>
          <w:sz w:val="26"/>
          <w:szCs w:val="26"/>
          <w:lang w:val="en-US"/>
        </w:rPr>
        <w:t xml:space="preserve"> for the proposed R&amp;D in the following publications</w:t>
      </w:r>
      <w:r>
        <w:rPr>
          <w:rFonts w:ascii="Garamond" w:hAnsi="Garamond"/>
          <w:sz w:val="26"/>
          <w:szCs w:val="26"/>
          <w:lang w:val="en-US"/>
        </w:rPr>
        <w:t>:</w:t>
      </w:r>
    </w:p>
    <w:p w:rsidR="00E66ECD" w:rsidRPr="00E66ECD" w:rsidRDefault="00E66ECD" w:rsidP="00E66ECD">
      <w:pPr>
        <w:pStyle w:val="ListParagraph"/>
        <w:numPr>
          <w:ilvl w:val="0"/>
          <w:numId w:val="10"/>
        </w:numPr>
        <w:rPr>
          <w:rFonts w:ascii="Garamond" w:hAnsi="Garamond"/>
          <w:sz w:val="26"/>
          <w:szCs w:val="26"/>
          <w:lang w:val="en-US"/>
        </w:rPr>
      </w:pPr>
      <w:r w:rsidRPr="00E66ECD">
        <w:rPr>
          <w:rFonts w:ascii="Garamond" w:hAnsi="Garamond"/>
          <w:sz w:val="26"/>
          <w:szCs w:val="26"/>
          <w:lang w:val="en-US"/>
        </w:rPr>
        <w:t xml:space="preserve">Holland AD and J Dragavon. </w:t>
      </w:r>
      <w:r w:rsidRPr="00E66ECD">
        <w:rPr>
          <w:rFonts w:ascii="Garamond" w:hAnsi="Garamond"/>
          <w:sz w:val="26"/>
          <w:szCs w:val="26"/>
          <w:u w:val="single"/>
          <w:lang w:val="en-US"/>
        </w:rPr>
        <w:t>Algal Reactor Design Based on Comprehensive Modeling of Light and Mixing</w:t>
      </w:r>
      <w:r w:rsidRPr="00E66ECD">
        <w:rPr>
          <w:rFonts w:ascii="Garamond" w:hAnsi="Garamond"/>
          <w:sz w:val="26"/>
          <w:szCs w:val="26"/>
          <w:lang w:val="en-US"/>
        </w:rPr>
        <w:t xml:space="preserve">. </w:t>
      </w:r>
      <w:r w:rsidRPr="00E66ECD">
        <w:rPr>
          <w:rFonts w:ascii="Garamond" w:hAnsi="Garamond"/>
          <w:i/>
          <w:iCs/>
          <w:sz w:val="26"/>
          <w:szCs w:val="26"/>
          <w:lang w:val="en-US"/>
        </w:rPr>
        <w:t>Algal Biorefineries</w:t>
      </w:r>
      <w:r w:rsidRPr="00E66ECD">
        <w:rPr>
          <w:rFonts w:ascii="Garamond" w:hAnsi="Garamond"/>
          <w:sz w:val="26"/>
          <w:szCs w:val="26"/>
          <w:lang w:val="en-US"/>
        </w:rPr>
        <w:t>, vol.1. Springer Publishing, New York, USA. (</w:t>
      </w:r>
      <w:r w:rsidRPr="00E66ECD">
        <w:rPr>
          <w:rFonts w:ascii="Garamond" w:hAnsi="Garamond"/>
          <w:b/>
          <w:bCs/>
          <w:sz w:val="26"/>
          <w:szCs w:val="26"/>
          <w:lang w:val="en-US"/>
        </w:rPr>
        <w:t>October 15 2013</w:t>
      </w:r>
      <w:r w:rsidRPr="00E66ECD">
        <w:rPr>
          <w:rFonts w:ascii="Garamond" w:hAnsi="Garamond"/>
          <w:sz w:val="26"/>
          <w:szCs w:val="26"/>
          <w:lang w:val="en-US"/>
        </w:rPr>
        <w:t>).</w:t>
      </w:r>
    </w:p>
    <w:p w:rsidR="00E66ECD" w:rsidRPr="00E66ECD" w:rsidRDefault="00E66ECD" w:rsidP="00E66ECD">
      <w:pPr>
        <w:pStyle w:val="ListParagraph"/>
        <w:numPr>
          <w:ilvl w:val="0"/>
          <w:numId w:val="10"/>
        </w:numPr>
        <w:rPr>
          <w:rFonts w:ascii="Garamond" w:hAnsi="Garamond"/>
          <w:sz w:val="26"/>
          <w:szCs w:val="26"/>
          <w:lang w:val="en-US"/>
        </w:rPr>
      </w:pPr>
      <w:r w:rsidRPr="00E66ECD">
        <w:rPr>
          <w:rFonts w:ascii="Garamond" w:hAnsi="Garamond"/>
          <w:sz w:val="26"/>
          <w:szCs w:val="26"/>
          <w:lang w:val="en-GB"/>
        </w:rPr>
        <w:t xml:space="preserve">Holland AD and D Wheeler. </w:t>
      </w:r>
      <w:r w:rsidRPr="00E66ECD">
        <w:rPr>
          <w:rFonts w:ascii="Garamond" w:hAnsi="Garamond"/>
          <w:sz w:val="26"/>
          <w:szCs w:val="26"/>
          <w:u w:val="single"/>
          <w:lang w:val="en-US"/>
        </w:rPr>
        <w:t>Methods for Estimating Intrinsic Autotrophic Biomass Yield and Productivity in Algae: Modeling Spectrum and Mixing-Rate Dependence</w:t>
      </w:r>
      <w:r w:rsidRPr="00E66ECD">
        <w:rPr>
          <w:rFonts w:ascii="Garamond" w:hAnsi="Garamond"/>
          <w:sz w:val="26"/>
          <w:szCs w:val="26"/>
          <w:lang w:val="en-US"/>
        </w:rPr>
        <w:t xml:space="preserve">. </w:t>
      </w:r>
      <w:r w:rsidRPr="00E66ECD">
        <w:rPr>
          <w:rFonts w:ascii="Garamond" w:hAnsi="Garamond"/>
          <w:i/>
          <w:iCs/>
          <w:sz w:val="26"/>
          <w:szCs w:val="26"/>
          <w:lang w:val="en-US"/>
        </w:rPr>
        <w:t>Biotechnology Journal.</w:t>
      </w:r>
      <w:r w:rsidRPr="00E66ECD">
        <w:rPr>
          <w:rFonts w:ascii="Garamond" w:hAnsi="Garamond"/>
          <w:sz w:val="26"/>
          <w:szCs w:val="26"/>
          <w:lang w:val="en-US"/>
        </w:rPr>
        <w:t xml:space="preserve"> </w:t>
      </w:r>
      <w:r w:rsidRPr="00E66ECD">
        <w:rPr>
          <w:rFonts w:ascii="Garamond" w:hAnsi="Garamond"/>
          <w:b/>
          <w:bCs/>
          <w:sz w:val="26"/>
          <w:szCs w:val="26"/>
          <w:lang w:val="en-US"/>
        </w:rPr>
        <w:t>2011</w:t>
      </w:r>
      <w:r w:rsidRPr="00E66ECD">
        <w:rPr>
          <w:rFonts w:ascii="Garamond" w:hAnsi="Garamond"/>
          <w:sz w:val="26"/>
          <w:szCs w:val="26"/>
          <w:lang w:val="en-US"/>
        </w:rPr>
        <w:t xml:space="preserve"> 6:584-599. </w:t>
      </w:r>
    </w:p>
    <w:p w:rsidR="00E66ECD" w:rsidRPr="00E66ECD" w:rsidRDefault="00E66ECD" w:rsidP="00E66ECD">
      <w:pPr>
        <w:pStyle w:val="ListParagraph"/>
        <w:numPr>
          <w:ilvl w:val="0"/>
          <w:numId w:val="10"/>
        </w:numPr>
        <w:rPr>
          <w:rFonts w:ascii="Garamond" w:hAnsi="Garamond"/>
          <w:sz w:val="26"/>
          <w:szCs w:val="26"/>
          <w:lang w:val="en-US"/>
        </w:rPr>
      </w:pPr>
      <w:r w:rsidRPr="00E66ECD">
        <w:rPr>
          <w:rFonts w:ascii="Garamond" w:hAnsi="Garamond"/>
          <w:sz w:val="26"/>
          <w:szCs w:val="26"/>
          <w:lang w:val="en-GB"/>
        </w:rPr>
        <w:t xml:space="preserve">Holland AD, Dragavon J and DC Sigee. </w:t>
      </w:r>
      <w:r w:rsidRPr="00E66ECD">
        <w:rPr>
          <w:rFonts w:ascii="Garamond" w:hAnsi="Garamond"/>
          <w:sz w:val="26"/>
          <w:szCs w:val="26"/>
          <w:u w:val="single"/>
          <w:lang w:val="en-US"/>
        </w:rPr>
        <w:t>Methods for Estimating Intrinsic Autotrophic Biomass Yield and Productivity in Algae: Emphasis on Experimental Methods for Strain Selection</w:t>
      </w:r>
      <w:r w:rsidRPr="00E66ECD">
        <w:rPr>
          <w:rFonts w:ascii="Garamond" w:hAnsi="Garamond"/>
          <w:sz w:val="26"/>
          <w:szCs w:val="26"/>
          <w:lang w:val="en-US"/>
        </w:rPr>
        <w:t xml:space="preserve">. </w:t>
      </w:r>
      <w:r w:rsidRPr="00E66ECD">
        <w:rPr>
          <w:rFonts w:ascii="Garamond" w:hAnsi="Garamond"/>
          <w:i/>
          <w:iCs/>
          <w:sz w:val="26"/>
          <w:szCs w:val="26"/>
          <w:lang w:val="en-US"/>
        </w:rPr>
        <w:t>Biotechnology Journal</w:t>
      </w:r>
      <w:r w:rsidRPr="00E66ECD">
        <w:rPr>
          <w:rFonts w:ascii="Garamond" w:hAnsi="Garamond"/>
          <w:sz w:val="26"/>
          <w:szCs w:val="26"/>
          <w:lang w:val="en-US"/>
        </w:rPr>
        <w:t xml:space="preserve">. </w:t>
      </w:r>
      <w:r w:rsidRPr="00E66ECD">
        <w:rPr>
          <w:rFonts w:ascii="Garamond" w:hAnsi="Garamond"/>
          <w:b/>
          <w:bCs/>
          <w:sz w:val="26"/>
          <w:szCs w:val="26"/>
          <w:lang w:val="en-US"/>
        </w:rPr>
        <w:t>2011</w:t>
      </w:r>
      <w:r w:rsidRPr="00E66ECD">
        <w:rPr>
          <w:rFonts w:ascii="Garamond" w:hAnsi="Garamond"/>
          <w:sz w:val="26"/>
          <w:szCs w:val="26"/>
          <w:lang w:val="en-US"/>
        </w:rPr>
        <w:t xml:space="preserve"> 6:572-583</w:t>
      </w:r>
    </w:p>
    <w:p w:rsidR="0062787C" w:rsidRDefault="0062787C" w:rsidP="0062787C">
      <w:pPr>
        <w:ind w:left="360"/>
        <w:rPr>
          <w:rFonts w:ascii="Garamond" w:hAnsi="Garamond"/>
          <w:sz w:val="26"/>
          <w:szCs w:val="26"/>
          <w:lang w:val="en-US"/>
        </w:rPr>
      </w:pPr>
      <w:r>
        <w:rPr>
          <w:rFonts w:ascii="Garamond" w:hAnsi="Garamond"/>
          <w:sz w:val="26"/>
          <w:szCs w:val="26"/>
          <w:lang w:val="en-US"/>
        </w:rPr>
        <w:t>This controversial approach enjoys as a result a very favorable patent landscape.  Indeed, thorough patent searches have retrieved unrelated approaches to algal lipid production and biomass productivity maximization.</w:t>
      </w:r>
    </w:p>
    <w:p w:rsidR="00C44AEC" w:rsidRDefault="003B6DC8" w:rsidP="0092607A">
      <w:pPr>
        <w:spacing w:after="60"/>
        <w:ind w:left="360"/>
        <w:rPr>
          <w:rFonts w:ascii="Garamond" w:hAnsi="Garamond"/>
          <w:sz w:val="26"/>
          <w:szCs w:val="26"/>
          <w:lang w:val="en-US"/>
        </w:rPr>
      </w:pPr>
      <w:r w:rsidRPr="00E7159D">
        <w:rPr>
          <w:rFonts w:ascii="Garamond" w:hAnsi="Garamond"/>
          <w:b/>
          <w:sz w:val="26"/>
          <w:szCs w:val="26"/>
          <w:lang w:val="en-US"/>
        </w:rPr>
        <w:t xml:space="preserve">A </w:t>
      </w:r>
      <w:r w:rsidR="0062550B" w:rsidRPr="00E7159D">
        <w:rPr>
          <w:rFonts w:ascii="Garamond" w:hAnsi="Garamond"/>
          <w:b/>
          <w:sz w:val="26"/>
          <w:szCs w:val="26"/>
          <w:lang w:val="en-US"/>
        </w:rPr>
        <w:t>PCT</w:t>
      </w:r>
      <w:r w:rsidR="0062787C" w:rsidRPr="00E7159D">
        <w:rPr>
          <w:rFonts w:ascii="Garamond" w:hAnsi="Garamond"/>
          <w:b/>
          <w:sz w:val="26"/>
          <w:szCs w:val="26"/>
          <w:lang w:val="en-US"/>
        </w:rPr>
        <w:t xml:space="preserve"> patent application </w:t>
      </w:r>
      <w:r w:rsidR="0062550B" w:rsidRPr="00E7159D">
        <w:rPr>
          <w:rFonts w:ascii="Garamond" w:hAnsi="Garamond"/>
          <w:b/>
          <w:sz w:val="26"/>
          <w:szCs w:val="26"/>
          <w:lang w:val="en-US"/>
        </w:rPr>
        <w:t>has been filed on October 14</w:t>
      </w:r>
      <w:r w:rsidR="0062550B" w:rsidRPr="00E7159D">
        <w:rPr>
          <w:rFonts w:ascii="Garamond" w:hAnsi="Garamond"/>
          <w:b/>
          <w:sz w:val="26"/>
          <w:szCs w:val="26"/>
          <w:vertAlign w:val="superscript"/>
          <w:lang w:val="en-US"/>
        </w:rPr>
        <w:t>th</w:t>
      </w:r>
      <w:r w:rsidR="0062550B" w:rsidRPr="00E7159D">
        <w:rPr>
          <w:rFonts w:ascii="Garamond" w:hAnsi="Garamond"/>
          <w:b/>
          <w:sz w:val="26"/>
          <w:szCs w:val="26"/>
          <w:lang w:val="en-US"/>
        </w:rPr>
        <w:t xml:space="preserve"> 2014 </w:t>
      </w:r>
      <w:r w:rsidR="0062787C" w:rsidRPr="00E7159D">
        <w:rPr>
          <w:rFonts w:ascii="Garamond" w:hAnsi="Garamond"/>
          <w:b/>
          <w:sz w:val="26"/>
          <w:szCs w:val="26"/>
          <w:lang w:val="en-US"/>
        </w:rPr>
        <w:t>with Ross Breyfogle at Marsh Fischman Breyfogle LLP</w:t>
      </w:r>
      <w:r w:rsidR="0062550B">
        <w:rPr>
          <w:rFonts w:ascii="Garamond" w:hAnsi="Garamond"/>
          <w:sz w:val="26"/>
          <w:szCs w:val="26"/>
          <w:lang w:val="en-US"/>
        </w:rPr>
        <w:t>, and is</w:t>
      </w:r>
      <w:r w:rsidR="00E54B85">
        <w:rPr>
          <w:rFonts w:ascii="Garamond" w:hAnsi="Garamond"/>
          <w:sz w:val="26"/>
          <w:szCs w:val="26"/>
          <w:lang w:val="en-US"/>
        </w:rPr>
        <w:t xml:space="preserve"> assigned to </w:t>
      </w:r>
      <w:r w:rsidR="00E54B85" w:rsidRPr="003B6DC8">
        <w:rPr>
          <w:rFonts w:ascii="Garamond" w:hAnsi="Garamond"/>
          <w:sz w:val="26"/>
          <w:szCs w:val="26"/>
          <w:lang w:val="en-US"/>
        </w:rPr>
        <w:t>PIARCS, PBC</w:t>
      </w:r>
      <w:r w:rsidR="00E7159D">
        <w:rPr>
          <w:rFonts w:ascii="Garamond" w:hAnsi="Garamond"/>
          <w:sz w:val="26"/>
          <w:szCs w:val="26"/>
          <w:lang w:val="en-US"/>
        </w:rPr>
        <w:t xml:space="preserve"> (Alexandra Holland is the sole inventor)</w:t>
      </w:r>
      <w:r>
        <w:rPr>
          <w:rFonts w:ascii="Garamond" w:hAnsi="Garamond"/>
          <w:sz w:val="26"/>
          <w:szCs w:val="26"/>
          <w:lang w:val="en-US"/>
        </w:rPr>
        <w:t>.</w:t>
      </w:r>
      <w:r w:rsidR="00E54B85">
        <w:rPr>
          <w:rFonts w:ascii="Garamond" w:hAnsi="Garamond"/>
          <w:sz w:val="26"/>
          <w:szCs w:val="26"/>
          <w:lang w:val="en-US"/>
        </w:rPr>
        <w:t xml:space="preserve">  </w:t>
      </w:r>
      <w:r w:rsidR="00C44AEC">
        <w:rPr>
          <w:rFonts w:ascii="Garamond" w:hAnsi="Garamond"/>
          <w:sz w:val="26"/>
          <w:szCs w:val="26"/>
          <w:lang w:val="en-US"/>
        </w:rPr>
        <w:t>This application will cover the algal bioreactor flow pattern design principles enabling a yield-based description of algal biomass production.  In-turn, this yield based model allows for:</w:t>
      </w:r>
    </w:p>
    <w:p w:rsidR="00C44AEC" w:rsidRPr="0092607A" w:rsidRDefault="00C44AEC" w:rsidP="0092607A">
      <w:pPr>
        <w:pStyle w:val="ListParagraph"/>
        <w:numPr>
          <w:ilvl w:val="0"/>
          <w:numId w:val="11"/>
        </w:numPr>
        <w:spacing w:after="0"/>
        <w:rPr>
          <w:rFonts w:ascii="Garamond" w:hAnsi="Garamond"/>
          <w:sz w:val="26"/>
          <w:szCs w:val="26"/>
          <w:lang w:val="en-US"/>
        </w:rPr>
      </w:pPr>
      <w:r w:rsidRPr="0092607A">
        <w:rPr>
          <w:rFonts w:ascii="Garamond" w:hAnsi="Garamond"/>
          <w:sz w:val="26"/>
          <w:szCs w:val="26"/>
          <w:lang w:val="en-US"/>
        </w:rPr>
        <w:t>maximization of biomass productivity under high light</w:t>
      </w:r>
    </w:p>
    <w:p w:rsidR="00C44AEC" w:rsidRPr="0092607A" w:rsidRDefault="00C44AEC" w:rsidP="0092607A">
      <w:pPr>
        <w:pStyle w:val="ListParagraph"/>
        <w:numPr>
          <w:ilvl w:val="0"/>
          <w:numId w:val="11"/>
        </w:numPr>
        <w:spacing w:after="0"/>
        <w:rPr>
          <w:rFonts w:ascii="Garamond" w:hAnsi="Garamond"/>
          <w:sz w:val="26"/>
          <w:szCs w:val="26"/>
          <w:lang w:val="en-US"/>
        </w:rPr>
      </w:pPr>
      <w:r w:rsidRPr="0092607A">
        <w:rPr>
          <w:rFonts w:ascii="Garamond" w:hAnsi="Garamond"/>
          <w:sz w:val="26"/>
          <w:szCs w:val="26"/>
          <w:lang w:val="en-US"/>
        </w:rPr>
        <w:t>contin</w:t>
      </w:r>
      <w:r w:rsidR="0092607A" w:rsidRPr="0092607A">
        <w:rPr>
          <w:rFonts w:ascii="Garamond" w:hAnsi="Garamond"/>
          <w:sz w:val="26"/>
          <w:szCs w:val="26"/>
          <w:lang w:val="en-US"/>
        </w:rPr>
        <w:t>uous lipid production</w:t>
      </w:r>
    </w:p>
    <w:p w:rsidR="0092607A" w:rsidRDefault="0092607A" w:rsidP="0092607A">
      <w:pPr>
        <w:pStyle w:val="ListParagraph"/>
        <w:numPr>
          <w:ilvl w:val="0"/>
          <w:numId w:val="11"/>
        </w:numPr>
        <w:spacing w:after="0"/>
        <w:rPr>
          <w:rFonts w:ascii="Garamond" w:hAnsi="Garamond"/>
          <w:sz w:val="26"/>
          <w:szCs w:val="26"/>
          <w:lang w:val="en-US"/>
        </w:rPr>
      </w:pPr>
      <w:r w:rsidRPr="0092607A">
        <w:rPr>
          <w:rFonts w:ascii="Garamond" w:hAnsi="Garamond"/>
          <w:sz w:val="26"/>
          <w:szCs w:val="26"/>
          <w:lang w:val="en-US"/>
        </w:rPr>
        <w:t>production of nutrients-free effluents</w:t>
      </w:r>
    </w:p>
    <w:p w:rsidR="0092607A" w:rsidRPr="0092607A" w:rsidRDefault="0092607A" w:rsidP="0092607A">
      <w:pPr>
        <w:pStyle w:val="ListParagraph"/>
        <w:spacing w:after="0"/>
        <w:ind w:left="1440"/>
        <w:rPr>
          <w:rFonts w:ascii="Garamond" w:hAnsi="Garamond"/>
          <w:sz w:val="26"/>
          <w:szCs w:val="26"/>
          <w:lang w:val="en-US"/>
        </w:rPr>
      </w:pPr>
    </w:p>
    <w:p w:rsidR="00B36EC4" w:rsidRPr="00034C1B" w:rsidRDefault="00B36EC4" w:rsidP="00B36EC4">
      <w:pPr>
        <w:pStyle w:val="Heading2"/>
        <w:rPr>
          <w:b/>
          <w:lang w:val="en-US"/>
        </w:rPr>
      </w:pPr>
      <w:bookmarkStart w:id="8" w:name="_Toc403474323"/>
      <w:r>
        <w:rPr>
          <w:b/>
          <w:color w:val="149346"/>
          <w:lang w:val="en-US"/>
        </w:rPr>
        <w:t>D</w:t>
      </w:r>
      <w:r w:rsidRPr="00034C1B">
        <w:rPr>
          <w:b/>
          <w:color w:val="149346"/>
          <w:lang w:val="en-US"/>
        </w:rPr>
        <w:t xml:space="preserve"> </w:t>
      </w:r>
      <w:r>
        <w:rPr>
          <w:b/>
          <w:color w:val="149346"/>
          <w:lang w:val="en-US"/>
        </w:rPr>
        <w:t>–</w:t>
      </w:r>
      <w:r w:rsidRPr="00034C1B">
        <w:rPr>
          <w:b/>
          <w:color w:val="149346"/>
          <w:lang w:val="en-US"/>
        </w:rPr>
        <w:t xml:space="preserve"> </w:t>
      </w:r>
      <w:r w:rsidR="006508EB">
        <w:rPr>
          <w:b/>
          <w:color w:val="149346"/>
          <w:lang w:val="en-US"/>
        </w:rPr>
        <w:t>H</w:t>
      </w:r>
      <w:r>
        <w:rPr>
          <w:b/>
          <w:color w:val="149346"/>
          <w:lang w:val="en-US"/>
        </w:rPr>
        <w:t>igh loading phosphorus recovery &amp; complete phosphorus removal</w:t>
      </w:r>
      <w:r w:rsidR="006508EB">
        <w:rPr>
          <w:b/>
          <w:color w:val="149346"/>
          <w:lang w:val="en-US"/>
        </w:rPr>
        <w:t>: Market analysis</w:t>
      </w:r>
      <w:bookmarkEnd w:id="8"/>
    </w:p>
    <w:p w:rsidR="00C972BA" w:rsidRPr="00C972BA" w:rsidRDefault="00C972BA" w:rsidP="00C972BA">
      <w:pPr>
        <w:spacing w:after="0"/>
        <w:rPr>
          <w:rFonts w:ascii="Garamond" w:hAnsi="Garamond"/>
          <w:color w:val="149346"/>
          <w:sz w:val="26"/>
          <w:szCs w:val="26"/>
          <w:lang w:val="en-US"/>
        </w:rPr>
      </w:pPr>
    </w:p>
    <w:p w:rsidR="00C972BA" w:rsidRPr="00C972BA" w:rsidRDefault="00C972BA" w:rsidP="00C972BA">
      <w:pPr>
        <w:pStyle w:val="Heading3"/>
        <w:numPr>
          <w:ilvl w:val="0"/>
          <w:numId w:val="9"/>
        </w:numPr>
        <w:spacing w:before="0" w:after="120"/>
        <w:rPr>
          <w:color w:val="149346"/>
          <w:lang w:val="en-US"/>
        </w:rPr>
      </w:pPr>
      <w:bookmarkStart w:id="9" w:name="_Toc403474324"/>
      <w:r w:rsidRPr="00C972BA">
        <w:rPr>
          <w:color w:val="149346"/>
          <w:lang w:val="en-US"/>
        </w:rPr>
        <w:t>State of the art</w:t>
      </w:r>
      <w:r>
        <w:rPr>
          <w:color w:val="149346"/>
          <w:lang w:val="en-US"/>
        </w:rPr>
        <w:t xml:space="preserve"> and </w:t>
      </w:r>
      <w:r w:rsidR="00713377">
        <w:rPr>
          <w:color w:val="149346"/>
          <w:lang w:val="en-US"/>
        </w:rPr>
        <w:t>competition</w:t>
      </w:r>
      <w:bookmarkEnd w:id="9"/>
    </w:p>
    <w:p w:rsidR="00206FB8" w:rsidRDefault="00206FB8" w:rsidP="00C972BA">
      <w:pPr>
        <w:ind w:left="360"/>
        <w:rPr>
          <w:rFonts w:ascii="Garamond" w:hAnsi="Garamond"/>
          <w:sz w:val="26"/>
          <w:szCs w:val="26"/>
          <w:lang w:val="en-US"/>
        </w:rPr>
      </w:pPr>
      <w:r w:rsidRPr="00206FB8">
        <w:rPr>
          <w:rFonts w:ascii="Garamond" w:hAnsi="Garamond"/>
          <w:sz w:val="26"/>
          <w:szCs w:val="26"/>
          <w:lang w:val="en-US"/>
        </w:rPr>
        <w:t>P</w:t>
      </w:r>
      <w:r>
        <w:rPr>
          <w:rFonts w:ascii="Garamond" w:hAnsi="Garamond"/>
          <w:sz w:val="26"/>
          <w:szCs w:val="26"/>
          <w:lang w:val="en-US"/>
        </w:rPr>
        <w:t>hosphorus (P)</w:t>
      </w:r>
      <w:r w:rsidRPr="00206FB8">
        <w:rPr>
          <w:rFonts w:ascii="Garamond" w:hAnsi="Garamond"/>
          <w:sz w:val="26"/>
          <w:szCs w:val="26"/>
          <w:lang w:val="en-US"/>
        </w:rPr>
        <w:t xml:space="preserve"> is an essential crop nutrient for which there is no substitute. While all farmers need access to rock-based phosphorus fertilizers, just 5 countries control around 90% of the world’s remaining phosphate rock reserves, including China, the US and Morocco. Current high-grade reserves will likely be depleted within 50-100 yrs.</w:t>
      </w:r>
    </w:p>
    <w:p w:rsidR="00206FB8" w:rsidRDefault="00206FB8" w:rsidP="00C972BA">
      <w:pPr>
        <w:ind w:left="360"/>
        <w:rPr>
          <w:rFonts w:ascii="Garamond" w:hAnsi="Garamond"/>
          <w:sz w:val="26"/>
          <w:szCs w:val="26"/>
          <w:lang w:val="en-US"/>
        </w:rPr>
      </w:pPr>
      <w:r>
        <w:rPr>
          <w:rFonts w:ascii="Garamond" w:hAnsi="Garamond"/>
          <w:sz w:val="26"/>
          <w:szCs w:val="26"/>
          <w:lang w:val="en-US"/>
        </w:rPr>
        <w:t xml:space="preserve">In parallel, municipal, agricultural and animal husbandry runoffs are leading to an accumulation of P in natural ecosystems.  </w:t>
      </w:r>
      <w:r w:rsidRPr="00206FB8">
        <w:rPr>
          <w:rFonts w:ascii="Garamond" w:hAnsi="Garamond"/>
          <w:sz w:val="26"/>
          <w:szCs w:val="26"/>
          <w:lang w:val="en-US"/>
        </w:rPr>
        <w:t xml:space="preserve">While phosphates are not toxic to humans, low P concentration alone can support algal growth in the presence of light (cyanobacteria are able to fix N from the atmosphere).  </w:t>
      </w:r>
      <w:r>
        <w:rPr>
          <w:rFonts w:ascii="Garamond" w:hAnsi="Garamond"/>
          <w:sz w:val="26"/>
          <w:szCs w:val="26"/>
          <w:lang w:val="en-US"/>
        </w:rPr>
        <w:t>This in-turn leads to eutrophication of lakes and streams.</w:t>
      </w:r>
      <w:r w:rsidR="00283543">
        <w:rPr>
          <w:rFonts w:ascii="Garamond" w:hAnsi="Garamond"/>
          <w:sz w:val="26"/>
          <w:szCs w:val="26"/>
          <w:lang w:val="en-US"/>
        </w:rPr>
        <w:t xml:space="preserve">  The EPA is addressing this issue by enforcing </w:t>
      </w:r>
      <w:r w:rsidR="00500EA8">
        <w:rPr>
          <w:rFonts w:ascii="Garamond" w:hAnsi="Garamond"/>
          <w:sz w:val="26"/>
          <w:szCs w:val="26"/>
          <w:lang w:val="en-US"/>
        </w:rPr>
        <w:t>nationwide numeric criteria for nitrogen and phosphorus levels in</w:t>
      </w:r>
      <w:r w:rsidR="00283543">
        <w:rPr>
          <w:rFonts w:ascii="Garamond" w:hAnsi="Garamond"/>
          <w:sz w:val="26"/>
          <w:szCs w:val="26"/>
          <w:lang w:val="en-US"/>
        </w:rPr>
        <w:t xml:space="preserve"> wastewater effluents</w:t>
      </w:r>
      <w:r w:rsidR="00500EA8">
        <w:rPr>
          <w:rFonts w:ascii="Garamond" w:hAnsi="Garamond"/>
          <w:sz w:val="26"/>
          <w:szCs w:val="26"/>
          <w:lang w:val="en-US"/>
        </w:rPr>
        <w:t xml:space="preserve">: </w:t>
      </w:r>
      <w:r w:rsidR="00500EA8" w:rsidRPr="00500EA8">
        <w:rPr>
          <w:rFonts w:ascii="Garamond" w:hAnsi="Garamond"/>
          <w:sz w:val="26"/>
          <w:szCs w:val="26"/>
          <w:lang w:val="en-US"/>
        </w:rPr>
        <w:t>http://cfpub</w:t>
      </w:r>
      <w:r w:rsidR="00500EA8">
        <w:rPr>
          <w:rFonts w:ascii="Garamond" w:hAnsi="Garamond"/>
          <w:sz w:val="26"/>
          <w:szCs w:val="26"/>
          <w:lang w:val="en-US"/>
        </w:rPr>
        <w:t>.epa.gov/wqsits/nnc-development/</w:t>
      </w:r>
    </w:p>
    <w:p w:rsidR="003C2E51" w:rsidRDefault="00206FB8" w:rsidP="00C972BA">
      <w:pPr>
        <w:ind w:left="360"/>
        <w:rPr>
          <w:rFonts w:ascii="Garamond" w:hAnsi="Garamond"/>
          <w:sz w:val="26"/>
          <w:szCs w:val="26"/>
          <w:lang w:val="en-US"/>
        </w:rPr>
      </w:pPr>
      <w:r>
        <w:rPr>
          <w:rFonts w:ascii="Garamond" w:hAnsi="Garamond"/>
          <w:sz w:val="26"/>
          <w:szCs w:val="26"/>
          <w:lang w:val="en-US"/>
        </w:rPr>
        <w:t>This dual challenge highlights the importance</w:t>
      </w:r>
      <w:r w:rsidR="003C2E51">
        <w:rPr>
          <w:rFonts w:ascii="Garamond" w:hAnsi="Garamond"/>
          <w:sz w:val="26"/>
          <w:szCs w:val="26"/>
          <w:lang w:val="en-US"/>
        </w:rPr>
        <w:t xml:space="preserve"> of treating wastewater</w:t>
      </w:r>
      <w:r>
        <w:rPr>
          <w:rFonts w:ascii="Garamond" w:hAnsi="Garamond"/>
          <w:sz w:val="26"/>
          <w:szCs w:val="26"/>
          <w:lang w:val="en-US"/>
        </w:rPr>
        <w:t xml:space="preserve"> for both </w:t>
      </w:r>
      <w:r w:rsidR="003C2E51">
        <w:rPr>
          <w:rFonts w:ascii="Garamond" w:hAnsi="Garamond"/>
          <w:sz w:val="26"/>
          <w:szCs w:val="26"/>
          <w:lang w:val="en-US"/>
        </w:rPr>
        <w:t xml:space="preserve">high loading P recovery (i.e. as a concentrated material) </w:t>
      </w:r>
      <w:r>
        <w:rPr>
          <w:rFonts w:ascii="Garamond" w:hAnsi="Garamond"/>
          <w:sz w:val="26"/>
          <w:szCs w:val="26"/>
          <w:lang w:val="en-US"/>
        </w:rPr>
        <w:t>a</w:t>
      </w:r>
      <w:r w:rsidR="003C2E51">
        <w:rPr>
          <w:rFonts w:ascii="Garamond" w:hAnsi="Garamond"/>
          <w:sz w:val="26"/>
          <w:szCs w:val="26"/>
          <w:lang w:val="en-US"/>
        </w:rPr>
        <w:t>nd complete P removal.  Common methods can perform one or the other.  The chemical methods which perform both preclude P re-extraction as a c</w:t>
      </w:r>
      <w:r w:rsidR="00500EA8">
        <w:rPr>
          <w:rFonts w:ascii="Garamond" w:hAnsi="Garamond"/>
          <w:sz w:val="26"/>
          <w:szCs w:val="26"/>
          <w:lang w:val="en-US"/>
        </w:rPr>
        <w:t>ost effective alternative, and lead to high volumes of waste.</w:t>
      </w:r>
    </w:p>
    <w:p w:rsidR="00327AFC" w:rsidRDefault="00BC513F" w:rsidP="00E30B4D">
      <w:pPr>
        <w:spacing w:after="60"/>
        <w:ind w:left="360"/>
        <w:rPr>
          <w:rFonts w:ascii="Garamond" w:hAnsi="Garamond"/>
          <w:sz w:val="26"/>
          <w:szCs w:val="26"/>
          <w:lang w:val="en-US"/>
        </w:rPr>
      </w:pPr>
      <w:r>
        <w:rPr>
          <w:rFonts w:ascii="Garamond" w:hAnsi="Garamond"/>
          <w:sz w:val="26"/>
          <w:szCs w:val="26"/>
          <w:lang w:val="en-US"/>
        </w:rPr>
        <w:t>High loading</w:t>
      </w:r>
      <w:r w:rsidR="00327AFC">
        <w:rPr>
          <w:rFonts w:ascii="Garamond" w:hAnsi="Garamond"/>
          <w:sz w:val="26"/>
          <w:szCs w:val="26"/>
          <w:lang w:val="en-US"/>
        </w:rPr>
        <w:t xml:space="preserve"> P recovery methods:</w:t>
      </w:r>
    </w:p>
    <w:p w:rsidR="003C2E51" w:rsidRDefault="00327AFC" w:rsidP="00327AFC">
      <w:pPr>
        <w:pStyle w:val="ListParagraph"/>
        <w:numPr>
          <w:ilvl w:val="0"/>
          <w:numId w:val="11"/>
        </w:numPr>
        <w:rPr>
          <w:rFonts w:ascii="Garamond" w:hAnsi="Garamond"/>
          <w:sz w:val="26"/>
          <w:szCs w:val="26"/>
          <w:lang w:val="en-US"/>
        </w:rPr>
      </w:pPr>
      <w:r>
        <w:rPr>
          <w:rFonts w:ascii="Garamond" w:hAnsi="Garamond"/>
          <w:sz w:val="26"/>
          <w:szCs w:val="26"/>
          <w:lang w:val="en-US"/>
        </w:rPr>
        <w:t xml:space="preserve">Biological Nutrient Removal (BNR) consists of a sequence of biological reactors (aerobic, anaerobic cycling) which involve naturally occurring bacterial populations.  These reactors accumulate P to high loading, but the final P levels are often unpredictable and </w:t>
      </w:r>
      <w:r w:rsidR="001A0AD2">
        <w:rPr>
          <w:rFonts w:ascii="Garamond" w:hAnsi="Garamond"/>
          <w:sz w:val="26"/>
          <w:szCs w:val="26"/>
          <w:lang w:val="en-US"/>
        </w:rPr>
        <w:t xml:space="preserve">fairly </w:t>
      </w:r>
      <w:r>
        <w:rPr>
          <w:rFonts w:ascii="Garamond" w:hAnsi="Garamond"/>
          <w:sz w:val="26"/>
          <w:szCs w:val="26"/>
          <w:lang w:val="en-US"/>
        </w:rPr>
        <w:t>high (0.2 – 1 mg/L</w:t>
      </w:r>
      <w:r w:rsidR="00283543">
        <w:rPr>
          <w:rFonts w:ascii="Garamond" w:hAnsi="Garamond"/>
          <w:sz w:val="26"/>
          <w:szCs w:val="26"/>
          <w:lang w:val="en-US"/>
        </w:rPr>
        <w:t>).</w:t>
      </w:r>
      <w:r w:rsidRPr="00327AFC">
        <w:rPr>
          <w:rFonts w:ascii="Garamond" w:hAnsi="Garamond"/>
          <w:sz w:val="26"/>
          <w:szCs w:val="26"/>
          <w:lang w:val="en-US"/>
        </w:rPr>
        <w:t xml:space="preserve"> </w:t>
      </w:r>
    </w:p>
    <w:p w:rsidR="005577C4" w:rsidRDefault="005577C4" w:rsidP="00327AFC">
      <w:pPr>
        <w:pStyle w:val="ListParagraph"/>
        <w:numPr>
          <w:ilvl w:val="0"/>
          <w:numId w:val="11"/>
        </w:numPr>
        <w:rPr>
          <w:rFonts w:ascii="Garamond" w:hAnsi="Garamond"/>
          <w:sz w:val="26"/>
          <w:szCs w:val="26"/>
          <w:lang w:val="en-US"/>
        </w:rPr>
      </w:pPr>
      <w:r>
        <w:rPr>
          <w:rFonts w:ascii="Garamond" w:hAnsi="Garamond"/>
          <w:sz w:val="26"/>
          <w:szCs w:val="26"/>
          <w:lang w:val="en-US"/>
        </w:rPr>
        <w:t>Struvite production uses very high concentration influents and produces an intermediate P concentration effluent</w:t>
      </w:r>
      <w:r w:rsidR="009B435F">
        <w:rPr>
          <w:rFonts w:ascii="Garamond" w:hAnsi="Garamond"/>
          <w:sz w:val="26"/>
          <w:szCs w:val="26"/>
          <w:lang w:val="en-US"/>
        </w:rPr>
        <w:t xml:space="preserve"> (~15 mg P/L)</w:t>
      </w:r>
      <w:r>
        <w:rPr>
          <w:rFonts w:ascii="Garamond" w:hAnsi="Garamond"/>
          <w:sz w:val="26"/>
          <w:szCs w:val="26"/>
          <w:lang w:val="en-US"/>
        </w:rPr>
        <w:t>.</w:t>
      </w:r>
    </w:p>
    <w:p w:rsidR="00E30B4D" w:rsidRPr="00B91855" w:rsidRDefault="00E14F3F" w:rsidP="00B91855">
      <w:pPr>
        <w:ind w:left="360"/>
        <w:rPr>
          <w:rFonts w:ascii="Garamond" w:hAnsi="Garamond"/>
          <w:sz w:val="26"/>
          <w:szCs w:val="26"/>
          <w:lang w:val="en-US"/>
        </w:rPr>
      </w:pPr>
      <w:r w:rsidRPr="00B91855">
        <w:rPr>
          <w:rFonts w:ascii="Garamond" w:hAnsi="Garamond"/>
          <w:sz w:val="26"/>
          <w:szCs w:val="26"/>
          <w:lang w:val="en-US"/>
        </w:rPr>
        <w:t>P removal methods:</w:t>
      </w:r>
    </w:p>
    <w:p w:rsidR="00E14F3F" w:rsidRDefault="00E14F3F" w:rsidP="00E14F3F">
      <w:pPr>
        <w:pStyle w:val="ListParagraph"/>
        <w:numPr>
          <w:ilvl w:val="0"/>
          <w:numId w:val="11"/>
        </w:numPr>
        <w:rPr>
          <w:rFonts w:ascii="Garamond" w:hAnsi="Garamond"/>
          <w:sz w:val="26"/>
          <w:szCs w:val="26"/>
          <w:lang w:val="en-US"/>
        </w:rPr>
      </w:pPr>
      <w:r>
        <w:rPr>
          <w:rFonts w:ascii="Garamond" w:hAnsi="Garamond"/>
          <w:sz w:val="26"/>
          <w:szCs w:val="26"/>
          <w:lang w:val="en-US"/>
        </w:rPr>
        <w:t>C</w:t>
      </w:r>
      <w:r w:rsidR="006603CD">
        <w:rPr>
          <w:rFonts w:ascii="Garamond" w:hAnsi="Garamond"/>
          <w:sz w:val="26"/>
          <w:szCs w:val="26"/>
          <w:lang w:val="en-US"/>
        </w:rPr>
        <w:t xml:space="preserve">hemical precipitation by trivalent metal salt addition (aluminum sulfate, ferric chloride, ferrous and ferric sulfates) or lime.  Precipitation requires a chemical excess, which adds bulk to the sludge, and </w:t>
      </w:r>
      <w:r w:rsidR="00F35A80">
        <w:rPr>
          <w:rFonts w:ascii="Garamond" w:hAnsi="Garamond"/>
          <w:sz w:val="26"/>
          <w:szCs w:val="26"/>
          <w:lang w:val="en-US"/>
        </w:rPr>
        <w:t>incurs significant O&amp;M costs.  The precipitates, which allow to reach P levels &lt; 0.1 mg P/L in the effluent, preclude cost-effective</w:t>
      </w:r>
      <w:r w:rsidR="0005185C">
        <w:rPr>
          <w:rFonts w:ascii="Garamond" w:hAnsi="Garamond"/>
          <w:sz w:val="26"/>
          <w:szCs w:val="26"/>
          <w:lang w:val="en-US"/>
        </w:rPr>
        <w:t xml:space="preserve"> recovery of the bound P (acid/base treatment</w:t>
      </w:r>
      <w:r w:rsidR="00F35A80">
        <w:rPr>
          <w:rFonts w:ascii="Garamond" w:hAnsi="Garamond"/>
          <w:sz w:val="26"/>
          <w:szCs w:val="26"/>
          <w:lang w:val="en-US"/>
        </w:rPr>
        <w:t>).</w:t>
      </w:r>
    </w:p>
    <w:p w:rsidR="00E14F3F" w:rsidRDefault="0005185C" w:rsidP="00E14F3F">
      <w:pPr>
        <w:pStyle w:val="ListParagraph"/>
        <w:numPr>
          <w:ilvl w:val="0"/>
          <w:numId w:val="11"/>
        </w:numPr>
        <w:rPr>
          <w:rFonts w:ascii="Garamond" w:hAnsi="Garamond"/>
          <w:sz w:val="26"/>
          <w:szCs w:val="26"/>
          <w:lang w:val="en-US"/>
        </w:rPr>
      </w:pPr>
      <w:r>
        <w:rPr>
          <w:rFonts w:ascii="Garamond" w:hAnsi="Garamond"/>
          <w:sz w:val="26"/>
          <w:szCs w:val="26"/>
          <w:lang w:val="en-US"/>
        </w:rPr>
        <w:t xml:space="preserve">The 2013 Siemens Water Tech. </w:t>
      </w:r>
      <w:r w:rsidR="00E14F3F">
        <w:rPr>
          <w:rFonts w:ascii="Garamond" w:hAnsi="Garamond"/>
          <w:sz w:val="26"/>
          <w:szCs w:val="26"/>
          <w:lang w:val="en-US"/>
        </w:rPr>
        <w:t>CoMag</w:t>
      </w:r>
      <w:r w:rsidRPr="0005185C">
        <w:rPr>
          <w:rFonts w:ascii="Garamond" w:hAnsi="Garamond"/>
          <w:sz w:val="26"/>
          <w:szCs w:val="26"/>
          <w:vertAlign w:val="superscript"/>
          <w:lang w:val="en-US"/>
        </w:rPr>
        <w:t>TM</w:t>
      </w:r>
      <w:r>
        <w:rPr>
          <w:rFonts w:ascii="Garamond" w:hAnsi="Garamond"/>
          <w:sz w:val="26"/>
          <w:szCs w:val="26"/>
          <w:lang w:val="en-US"/>
        </w:rPr>
        <w:t xml:space="preserve"> system uses magnetite to separate P and other impurities from wastewater, with recycling of magnetite after chemical treatment.  This system is highly effective to polish low P concentration influents to very low levels, but cannot easily handle P-rich influents.</w:t>
      </w:r>
    </w:p>
    <w:p w:rsidR="00E87852" w:rsidRDefault="00E87852" w:rsidP="00E87852">
      <w:pPr>
        <w:pStyle w:val="ListParagraph"/>
        <w:numPr>
          <w:ilvl w:val="0"/>
          <w:numId w:val="11"/>
        </w:numPr>
        <w:rPr>
          <w:rFonts w:ascii="Garamond" w:hAnsi="Garamond"/>
          <w:sz w:val="26"/>
          <w:szCs w:val="26"/>
          <w:lang w:val="en-US"/>
        </w:rPr>
      </w:pPr>
      <w:r>
        <w:rPr>
          <w:rFonts w:ascii="Garamond" w:hAnsi="Garamond"/>
          <w:sz w:val="26"/>
          <w:szCs w:val="26"/>
          <w:lang w:val="en-US"/>
        </w:rPr>
        <w:t>Algae can be used to remove P to undetectable levels as they incorporate the nutrient into their biomass.  Effective P recovery is rendered difficult since the P is assimilated as a variety of metabolic products (nucleic acids, phospholipids …), and the overall weight fractions are low (0.5-</w:t>
      </w:r>
      <w:r w:rsidR="00D14181">
        <w:rPr>
          <w:rFonts w:ascii="Garamond" w:hAnsi="Garamond"/>
          <w:sz w:val="26"/>
          <w:szCs w:val="26"/>
          <w:lang w:val="en-US"/>
        </w:rPr>
        <w:t>2</w:t>
      </w:r>
      <w:r>
        <w:rPr>
          <w:rFonts w:ascii="Garamond" w:hAnsi="Garamond"/>
          <w:sz w:val="26"/>
          <w:szCs w:val="26"/>
          <w:lang w:val="en-US"/>
        </w:rPr>
        <w:t>% P on a dry weight basis).  This process also needs light, which is very costly to implement for the high volumes treated daily by wastewater treatment facilities.</w:t>
      </w:r>
    </w:p>
    <w:p w:rsidR="00BA4474" w:rsidRDefault="00BA4474" w:rsidP="00E87852">
      <w:pPr>
        <w:pStyle w:val="ListParagraph"/>
        <w:numPr>
          <w:ilvl w:val="0"/>
          <w:numId w:val="11"/>
        </w:numPr>
        <w:rPr>
          <w:rFonts w:ascii="Garamond" w:hAnsi="Garamond"/>
          <w:sz w:val="26"/>
          <w:szCs w:val="26"/>
          <w:lang w:val="en-US"/>
        </w:rPr>
      </w:pPr>
      <w:r>
        <w:rPr>
          <w:rFonts w:ascii="Garamond" w:hAnsi="Garamond"/>
          <w:sz w:val="26"/>
          <w:szCs w:val="26"/>
          <w:lang w:val="en-US"/>
        </w:rPr>
        <w:t>Imbrium Systems Inc. sorptive medium is a filtration-based system which removes P from wastewater to levels &lt; 0.1 mg/L.  However, the breakthrough bed volume is on the order of 500 BV, such that for every 500 gallons of water treated, 1 gallon of sorptive medium needs to be used – and discarded, incurring significant amounts of solid waste.</w:t>
      </w:r>
    </w:p>
    <w:p w:rsidR="00C972BA" w:rsidRDefault="004918B3" w:rsidP="00C36877">
      <w:pPr>
        <w:pStyle w:val="ListParagraph"/>
        <w:ind w:left="360"/>
        <w:rPr>
          <w:rFonts w:ascii="Garamond" w:hAnsi="Garamond"/>
          <w:sz w:val="26"/>
          <w:szCs w:val="26"/>
          <w:lang w:val="en-US"/>
        </w:rPr>
      </w:pPr>
      <w:r>
        <w:rPr>
          <w:rFonts w:ascii="Garamond" w:hAnsi="Garamond"/>
          <w:sz w:val="26"/>
          <w:szCs w:val="26"/>
          <w:lang w:val="en-US"/>
        </w:rPr>
        <w:t>BNR and</w:t>
      </w:r>
      <w:r w:rsidR="00E87852">
        <w:rPr>
          <w:rFonts w:ascii="Garamond" w:hAnsi="Garamond"/>
          <w:sz w:val="26"/>
          <w:szCs w:val="26"/>
          <w:lang w:val="en-US"/>
        </w:rPr>
        <w:t xml:space="preserve"> chemical precipitation are the most commonly implemented </w:t>
      </w:r>
      <w:r>
        <w:rPr>
          <w:rFonts w:ascii="Garamond" w:hAnsi="Garamond"/>
          <w:sz w:val="26"/>
          <w:szCs w:val="26"/>
          <w:lang w:val="en-US"/>
        </w:rPr>
        <w:t xml:space="preserve">P removal </w:t>
      </w:r>
      <w:r w:rsidR="00E87852">
        <w:rPr>
          <w:rFonts w:ascii="Garamond" w:hAnsi="Garamond"/>
          <w:sz w:val="26"/>
          <w:szCs w:val="26"/>
          <w:lang w:val="en-US"/>
        </w:rPr>
        <w:t xml:space="preserve">methods in wastewater treatment plants.  </w:t>
      </w:r>
      <w:r w:rsidR="00C36877">
        <w:rPr>
          <w:rFonts w:ascii="Garamond" w:hAnsi="Garamond"/>
          <w:sz w:val="26"/>
          <w:szCs w:val="26"/>
          <w:lang w:val="en-US"/>
        </w:rPr>
        <w:t>Both the</w:t>
      </w:r>
      <w:r w:rsidR="00E87852">
        <w:rPr>
          <w:rFonts w:ascii="Garamond" w:hAnsi="Garamond"/>
          <w:sz w:val="26"/>
          <w:szCs w:val="26"/>
          <w:lang w:val="en-US"/>
        </w:rPr>
        <w:t xml:space="preserve"> </w:t>
      </w:r>
      <w:r w:rsidR="00C36877">
        <w:rPr>
          <w:rFonts w:ascii="Garamond" w:hAnsi="Garamond"/>
          <w:sz w:val="26"/>
          <w:szCs w:val="26"/>
          <w:lang w:val="en-US"/>
        </w:rPr>
        <w:t xml:space="preserve">Siemens </w:t>
      </w:r>
      <w:r w:rsidR="00E87852">
        <w:rPr>
          <w:rFonts w:ascii="Garamond" w:hAnsi="Garamond"/>
          <w:sz w:val="26"/>
          <w:szCs w:val="26"/>
          <w:lang w:val="en-US"/>
        </w:rPr>
        <w:t>CoMag</w:t>
      </w:r>
      <w:r w:rsidR="00C36877">
        <w:rPr>
          <w:rFonts w:ascii="Garamond" w:hAnsi="Garamond"/>
          <w:sz w:val="26"/>
          <w:szCs w:val="26"/>
          <w:lang w:val="en-US"/>
        </w:rPr>
        <w:t xml:space="preserve"> (2013)</w:t>
      </w:r>
      <w:r w:rsidR="00E87852">
        <w:rPr>
          <w:rFonts w:ascii="Garamond" w:hAnsi="Garamond"/>
          <w:sz w:val="26"/>
          <w:szCs w:val="26"/>
          <w:lang w:val="en-US"/>
        </w:rPr>
        <w:t xml:space="preserve"> </w:t>
      </w:r>
      <w:r w:rsidR="00C36877">
        <w:rPr>
          <w:rFonts w:ascii="Garamond" w:hAnsi="Garamond"/>
          <w:sz w:val="26"/>
          <w:szCs w:val="26"/>
          <w:lang w:val="en-US"/>
        </w:rPr>
        <w:t xml:space="preserve">and Ostara struvite (2011) </w:t>
      </w:r>
      <w:r w:rsidR="00E87852">
        <w:rPr>
          <w:rFonts w:ascii="Garamond" w:hAnsi="Garamond"/>
          <w:sz w:val="26"/>
          <w:szCs w:val="26"/>
          <w:lang w:val="en-US"/>
        </w:rPr>
        <w:t>system</w:t>
      </w:r>
      <w:r w:rsidR="00C36877">
        <w:rPr>
          <w:rFonts w:ascii="Garamond" w:hAnsi="Garamond"/>
          <w:sz w:val="26"/>
          <w:szCs w:val="26"/>
          <w:lang w:val="en-US"/>
        </w:rPr>
        <w:t>s</w:t>
      </w:r>
      <w:r w:rsidR="00E87852">
        <w:rPr>
          <w:rFonts w:ascii="Garamond" w:hAnsi="Garamond"/>
          <w:sz w:val="26"/>
          <w:szCs w:val="26"/>
          <w:lang w:val="en-US"/>
        </w:rPr>
        <w:t xml:space="preserve">, while expensive, </w:t>
      </w:r>
      <w:r w:rsidR="00C36877">
        <w:rPr>
          <w:rFonts w:ascii="Garamond" w:hAnsi="Garamond"/>
          <w:sz w:val="26"/>
          <w:szCs w:val="26"/>
          <w:lang w:val="en-US"/>
        </w:rPr>
        <w:t>are</w:t>
      </w:r>
      <w:r>
        <w:rPr>
          <w:rFonts w:ascii="Garamond" w:hAnsi="Garamond"/>
          <w:sz w:val="26"/>
          <w:szCs w:val="26"/>
          <w:lang w:val="en-US"/>
        </w:rPr>
        <w:t xml:space="preserve"> meeting </w:t>
      </w:r>
      <w:r w:rsidR="00AF56E8">
        <w:rPr>
          <w:rFonts w:ascii="Garamond" w:hAnsi="Garamond"/>
          <w:sz w:val="26"/>
          <w:szCs w:val="26"/>
          <w:lang w:val="en-US"/>
        </w:rPr>
        <w:t>early success, which bodes well for PIARCS’ technology.</w:t>
      </w:r>
    </w:p>
    <w:p w:rsidR="006B7E93" w:rsidRPr="00C972BA" w:rsidRDefault="006B7E93" w:rsidP="00C36877">
      <w:pPr>
        <w:pStyle w:val="ListParagraph"/>
        <w:ind w:left="360"/>
        <w:rPr>
          <w:lang w:val="en-US"/>
        </w:rPr>
      </w:pPr>
    </w:p>
    <w:p w:rsidR="00C972BA" w:rsidRDefault="00C972BA" w:rsidP="00C972BA">
      <w:pPr>
        <w:pStyle w:val="Heading3"/>
        <w:numPr>
          <w:ilvl w:val="0"/>
          <w:numId w:val="9"/>
        </w:numPr>
        <w:spacing w:before="0" w:after="120"/>
        <w:rPr>
          <w:color w:val="149346"/>
          <w:lang w:val="en-US"/>
        </w:rPr>
      </w:pPr>
      <w:bookmarkStart w:id="10" w:name="_Toc403474325"/>
      <w:r>
        <w:rPr>
          <w:color w:val="149346"/>
          <w:lang w:val="en-US"/>
        </w:rPr>
        <w:t>PIARCS’ solutions</w:t>
      </w:r>
      <w:bookmarkEnd w:id="10"/>
    </w:p>
    <w:p w:rsidR="00E63BC7" w:rsidRDefault="0048494B" w:rsidP="00C972BA">
      <w:pPr>
        <w:ind w:left="360"/>
        <w:rPr>
          <w:rFonts w:ascii="Garamond" w:hAnsi="Garamond"/>
          <w:sz w:val="26"/>
          <w:szCs w:val="26"/>
          <w:lang w:val="en-US"/>
        </w:rPr>
      </w:pPr>
      <w:r>
        <w:rPr>
          <w:rFonts w:ascii="Garamond" w:hAnsi="Garamond"/>
          <w:sz w:val="26"/>
          <w:szCs w:val="26"/>
          <w:lang w:val="en-US"/>
        </w:rPr>
        <w:t xml:space="preserve">PIARCS proposes to use </w:t>
      </w:r>
      <w:r w:rsidR="00E63BC7">
        <w:rPr>
          <w:rFonts w:ascii="Garamond" w:hAnsi="Garamond"/>
          <w:sz w:val="26"/>
          <w:szCs w:val="26"/>
          <w:lang w:val="en-US"/>
        </w:rPr>
        <w:t>strains</w:t>
      </w:r>
      <w:r w:rsidR="00A52BC7">
        <w:rPr>
          <w:rFonts w:ascii="Garamond" w:hAnsi="Garamond"/>
          <w:sz w:val="26"/>
          <w:szCs w:val="26"/>
          <w:lang w:val="en-US"/>
        </w:rPr>
        <w:t xml:space="preserve"> from a non-traditional </w:t>
      </w:r>
      <w:r w:rsidR="00E63BC7">
        <w:rPr>
          <w:rFonts w:ascii="Garamond" w:hAnsi="Garamond"/>
          <w:sz w:val="26"/>
          <w:szCs w:val="26"/>
          <w:lang w:val="en-US"/>
        </w:rPr>
        <w:t>ge</w:t>
      </w:r>
      <w:r w:rsidR="0018668E">
        <w:rPr>
          <w:rFonts w:ascii="Garamond" w:hAnsi="Garamond"/>
          <w:sz w:val="26"/>
          <w:szCs w:val="26"/>
          <w:lang w:val="en-US"/>
        </w:rPr>
        <w:t xml:space="preserve">nus to remove P from wastewater.  </w:t>
      </w:r>
      <w:r w:rsidR="00E63BC7">
        <w:rPr>
          <w:rFonts w:ascii="Garamond" w:hAnsi="Garamond"/>
          <w:sz w:val="26"/>
          <w:szCs w:val="26"/>
          <w:lang w:val="en-US"/>
        </w:rPr>
        <w:t>This strain affords both high loading P recovery and reliable complete P removal from wastewater.</w:t>
      </w:r>
    </w:p>
    <w:p w:rsidR="00C972BA" w:rsidRDefault="00E63BC7" w:rsidP="00C972BA">
      <w:pPr>
        <w:ind w:left="360"/>
        <w:rPr>
          <w:rFonts w:ascii="Garamond" w:hAnsi="Garamond"/>
          <w:sz w:val="26"/>
          <w:szCs w:val="26"/>
          <w:lang w:val="en-US"/>
        </w:rPr>
      </w:pPr>
      <w:r>
        <w:rPr>
          <w:rFonts w:ascii="Garamond" w:hAnsi="Garamond"/>
          <w:sz w:val="26"/>
          <w:szCs w:val="26"/>
          <w:lang w:val="en-US"/>
        </w:rPr>
        <w:t>Either as conditioned wild-type or engineered strains, Dr. Alexandra Holland</w:t>
      </w:r>
      <w:r w:rsidR="008A4280">
        <w:rPr>
          <w:rFonts w:ascii="Garamond" w:hAnsi="Garamond"/>
          <w:sz w:val="26"/>
          <w:szCs w:val="26"/>
          <w:lang w:val="en-US"/>
        </w:rPr>
        <w:t xml:space="preserve"> has found </w:t>
      </w:r>
      <w:r w:rsidR="00A52BC7">
        <w:rPr>
          <w:rFonts w:ascii="Garamond" w:hAnsi="Garamond"/>
          <w:sz w:val="26"/>
          <w:szCs w:val="26"/>
          <w:lang w:val="en-US"/>
        </w:rPr>
        <w:t>that PIARCS’ proprietary strain</w:t>
      </w:r>
      <w:r>
        <w:rPr>
          <w:rFonts w:ascii="Garamond" w:hAnsi="Garamond"/>
          <w:sz w:val="26"/>
          <w:szCs w:val="26"/>
          <w:lang w:val="en-US"/>
        </w:rPr>
        <w:t xml:space="preserve"> accumulates phosphate from high concentration environments (60-120 mg P/L) as polyphosphate (10,200 -23,000 nmol P</w:t>
      </w:r>
      <w:r w:rsidR="008A4280">
        <w:rPr>
          <w:rFonts w:ascii="Garamond" w:hAnsi="Garamond"/>
          <w:sz w:val="26"/>
          <w:szCs w:val="26"/>
          <w:lang w:val="en-US"/>
        </w:rPr>
        <w:t>-PolyP</w:t>
      </w:r>
      <w:r>
        <w:rPr>
          <w:rFonts w:ascii="Garamond" w:hAnsi="Garamond"/>
          <w:sz w:val="26"/>
          <w:szCs w:val="26"/>
          <w:lang w:val="en-US"/>
        </w:rPr>
        <w:t>/mg protein or 8</w:t>
      </w:r>
      <w:r w:rsidR="00155A5D">
        <w:rPr>
          <w:rFonts w:ascii="Garamond" w:hAnsi="Garamond"/>
          <w:sz w:val="26"/>
          <w:szCs w:val="26"/>
          <w:lang w:val="en-US"/>
        </w:rPr>
        <w:t>.5</w:t>
      </w:r>
      <w:r>
        <w:rPr>
          <w:rFonts w:ascii="Garamond" w:hAnsi="Garamond"/>
          <w:sz w:val="26"/>
          <w:szCs w:val="26"/>
          <w:lang w:val="en-US"/>
        </w:rPr>
        <w:t>-17% P as polyphosphate</w:t>
      </w:r>
      <w:r w:rsidR="008A4280" w:rsidRPr="008A4280">
        <w:rPr>
          <w:rFonts w:ascii="Garamond" w:hAnsi="Garamond"/>
          <w:sz w:val="26"/>
          <w:szCs w:val="26"/>
          <w:lang w:val="en-US"/>
        </w:rPr>
        <w:t xml:space="preserve"> </w:t>
      </w:r>
      <w:r w:rsidR="008A4280">
        <w:rPr>
          <w:rFonts w:ascii="Garamond" w:hAnsi="Garamond"/>
          <w:sz w:val="26"/>
          <w:szCs w:val="26"/>
          <w:lang w:val="en-US"/>
        </w:rPr>
        <w:t>in the final dried biomass</w:t>
      </w:r>
      <w:r>
        <w:rPr>
          <w:rFonts w:ascii="Garamond" w:hAnsi="Garamond"/>
          <w:sz w:val="26"/>
          <w:szCs w:val="26"/>
          <w:lang w:val="en-US"/>
        </w:rPr>
        <w:t>).  In addition, phosphate is removed to concentrations &lt; 0.03 mg P/L (detection limit, maybe even lower) in a biomass which does not leach P.</w:t>
      </w:r>
      <w:r w:rsidR="008A4280">
        <w:rPr>
          <w:rFonts w:ascii="Garamond" w:hAnsi="Garamond"/>
          <w:sz w:val="26"/>
          <w:szCs w:val="26"/>
          <w:lang w:val="en-US"/>
        </w:rPr>
        <w:t xml:space="preserve"> </w:t>
      </w:r>
    </w:p>
    <w:p w:rsidR="00155A5D" w:rsidRDefault="00155A5D" w:rsidP="00C972BA">
      <w:pPr>
        <w:ind w:left="360"/>
        <w:rPr>
          <w:rFonts w:ascii="Garamond" w:hAnsi="Garamond"/>
          <w:sz w:val="26"/>
          <w:szCs w:val="26"/>
          <w:lang w:val="en-US"/>
        </w:rPr>
      </w:pPr>
      <w:r>
        <w:rPr>
          <w:rFonts w:ascii="Garamond" w:hAnsi="Garamond"/>
          <w:sz w:val="26"/>
          <w:szCs w:val="26"/>
          <w:lang w:val="en-US"/>
        </w:rPr>
        <w:t>Polyphosphates (as 8.5-17% P in the final dried biomass) can easily be converted back to phosphate using enzymatic treatment and further processed into high grade fertilizer.  This contrasts with the more difficult P extraction from commercial rock phosphates (</w:t>
      </w:r>
      <w:r w:rsidRPr="00CE291F">
        <w:rPr>
          <w:rFonts w:ascii="Garamond" w:hAnsi="Garamond"/>
          <w:sz w:val="26"/>
          <w:szCs w:val="26"/>
          <w:lang w:val="en-US"/>
        </w:rPr>
        <w:t>11-16% P</w:t>
      </w:r>
      <w:r>
        <w:rPr>
          <w:rFonts w:ascii="Garamond" w:hAnsi="Garamond"/>
          <w:sz w:val="26"/>
          <w:szCs w:val="26"/>
          <w:lang w:val="en-US"/>
        </w:rPr>
        <w:t xml:space="preserve">), </w:t>
      </w:r>
      <w:r w:rsidRPr="00CE291F">
        <w:rPr>
          <w:rFonts w:ascii="Garamond" w:hAnsi="Garamond"/>
          <w:sz w:val="26"/>
          <w:szCs w:val="26"/>
          <w:lang w:val="en-US"/>
        </w:rPr>
        <w:t xml:space="preserve">which currently provide a primary yet limited global fertilizer resource. </w:t>
      </w:r>
    </w:p>
    <w:p w:rsidR="000178B0" w:rsidRDefault="00A52BC7" w:rsidP="00C72DCD">
      <w:pPr>
        <w:ind w:left="360"/>
        <w:jc w:val="center"/>
        <w:rPr>
          <w:rFonts w:ascii="Garamond" w:hAnsi="Garamond"/>
          <w:sz w:val="26"/>
          <w:szCs w:val="26"/>
          <w:lang w:val="en-US"/>
        </w:rPr>
      </w:pPr>
      <w:r>
        <w:rPr>
          <w:rFonts w:ascii="Garamond" w:hAnsi="Garamond"/>
          <w:noProof/>
          <w:sz w:val="26"/>
          <w:szCs w:val="26"/>
          <w:lang w:val="en-US"/>
        </w:rPr>
        <w:drawing>
          <wp:inline distT="0" distB="0" distL="0" distR="0" wp14:anchorId="47674AEA">
            <wp:extent cx="2834640" cy="3102372"/>
            <wp:effectExtent l="0" t="0" r="3810" b="317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4640" cy="3102372"/>
                    </a:xfrm>
                    <a:prstGeom prst="rect">
                      <a:avLst/>
                    </a:prstGeom>
                    <a:noFill/>
                  </pic:spPr>
                </pic:pic>
              </a:graphicData>
            </a:graphic>
          </wp:inline>
        </w:drawing>
      </w:r>
    </w:p>
    <w:p w:rsidR="008418C5" w:rsidRDefault="000178B0" w:rsidP="00C972BA">
      <w:pPr>
        <w:ind w:left="360"/>
        <w:rPr>
          <w:rFonts w:ascii="Garamond" w:hAnsi="Garamond"/>
          <w:sz w:val="26"/>
          <w:szCs w:val="26"/>
          <w:lang w:val="en-US"/>
        </w:rPr>
      </w:pPr>
      <w:r w:rsidRPr="008418C5">
        <w:rPr>
          <w:rFonts w:ascii="Garamond" w:hAnsi="Garamond"/>
          <w:b/>
          <w:sz w:val="26"/>
          <w:szCs w:val="26"/>
          <w:lang w:val="en-US"/>
        </w:rPr>
        <w:t>Figure 2. Phosphate removal</w:t>
      </w:r>
      <w:r>
        <w:rPr>
          <w:rFonts w:ascii="Garamond" w:hAnsi="Garamond"/>
          <w:sz w:val="26"/>
          <w:szCs w:val="26"/>
          <w:lang w:val="en-US"/>
        </w:rPr>
        <w:t xml:space="preserve"> </w:t>
      </w:r>
      <w:r w:rsidRPr="00A52BC7">
        <w:rPr>
          <w:rFonts w:ascii="Garamond" w:hAnsi="Garamond"/>
          <w:sz w:val="26"/>
          <w:szCs w:val="26"/>
          <w:lang w:val="en-US"/>
        </w:rPr>
        <w:t>(triplicate samples).</w:t>
      </w:r>
      <w:r w:rsidR="008418C5" w:rsidRPr="00A52BC7">
        <w:rPr>
          <w:rFonts w:ascii="Garamond" w:hAnsi="Garamond"/>
          <w:sz w:val="26"/>
          <w:szCs w:val="26"/>
          <w:lang w:val="en-US"/>
        </w:rPr>
        <w:t xml:space="preserve"> </w:t>
      </w:r>
      <w:r w:rsidR="00A52BC7" w:rsidRPr="00A52BC7">
        <w:rPr>
          <w:rFonts w:ascii="Garamond" w:hAnsi="Garamond"/>
          <w:sz w:val="26"/>
          <w:szCs w:val="26"/>
          <w:lang w:val="en-US"/>
        </w:rPr>
        <w:t xml:space="preserve">State of Colorado </w:t>
      </w:r>
      <w:r w:rsidR="008418C5" w:rsidRPr="00A52BC7">
        <w:rPr>
          <w:rFonts w:ascii="Garamond" w:hAnsi="Garamond"/>
          <w:sz w:val="26"/>
          <w:szCs w:val="26"/>
          <w:lang w:val="en-US"/>
        </w:rPr>
        <w:t xml:space="preserve">EPA Reg 85 comes </w:t>
      </w:r>
      <w:r w:rsidR="008418C5">
        <w:rPr>
          <w:rFonts w:ascii="Garamond" w:hAnsi="Garamond"/>
          <w:sz w:val="26"/>
          <w:szCs w:val="26"/>
          <w:lang w:val="en-US"/>
        </w:rPr>
        <w:t xml:space="preserve">into effect </w:t>
      </w:r>
      <w:r w:rsidR="008418C5" w:rsidRPr="008418C5">
        <w:rPr>
          <w:rFonts w:ascii="Garamond" w:hAnsi="Garamond"/>
          <w:sz w:val="26"/>
          <w:szCs w:val="26"/>
          <w:lang w:val="en-US"/>
        </w:rPr>
        <w:t xml:space="preserve">2022, </w:t>
      </w:r>
      <w:r w:rsidR="008418C5">
        <w:rPr>
          <w:rFonts w:ascii="Garamond" w:hAnsi="Garamond"/>
          <w:sz w:val="26"/>
          <w:szCs w:val="26"/>
          <w:lang w:val="en-US"/>
        </w:rPr>
        <w:t>and EPA Reg 31 in</w:t>
      </w:r>
      <w:r w:rsidR="008418C5" w:rsidRPr="008418C5">
        <w:rPr>
          <w:rFonts w:ascii="Garamond" w:hAnsi="Garamond"/>
          <w:sz w:val="26"/>
          <w:szCs w:val="26"/>
          <w:lang w:val="en-US"/>
        </w:rPr>
        <w:t xml:space="preserve"> 2031</w:t>
      </w:r>
      <w:r w:rsidR="008418C5">
        <w:rPr>
          <w:rFonts w:ascii="Garamond" w:hAnsi="Garamond"/>
          <w:sz w:val="26"/>
          <w:szCs w:val="26"/>
          <w:lang w:val="en-US"/>
        </w:rPr>
        <w:t>.  PIARCS’ proprietary IP allows to easily meet and exceed the EPA standards coming into effect in the next 8-17 years.</w:t>
      </w:r>
    </w:p>
    <w:p w:rsidR="000178B0" w:rsidRDefault="000178B0" w:rsidP="00C72DCD">
      <w:pPr>
        <w:ind w:left="360"/>
        <w:jc w:val="center"/>
        <w:rPr>
          <w:rFonts w:ascii="Garamond" w:hAnsi="Garamond"/>
          <w:sz w:val="26"/>
          <w:szCs w:val="26"/>
          <w:lang w:val="en-US"/>
        </w:rPr>
      </w:pPr>
      <w:r>
        <w:rPr>
          <w:rFonts w:ascii="Garamond" w:hAnsi="Garamond"/>
          <w:noProof/>
          <w:sz w:val="26"/>
          <w:szCs w:val="26"/>
          <w:lang w:val="en-US"/>
        </w:rPr>
        <w:drawing>
          <wp:inline distT="0" distB="0" distL="0" distR="0" wp14:anchorId="3E7CC1D2">
            <wp:extent cx="3281082" cy="1419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49997"/>
                    <a:stretch/>
                  </pic:blipFill>
                  <pic:spPr bwMode="auto">
                    <a:xfrm>
                      <a:off x="0" y="0"/>
                      <a:ext cx="3289267" cy="1422765"/>
                    </a:xfrm>
                    <a:prstGeom prst="rect">
                      <a:avLst/>
                    </a:prstGeom>
                    <a:noFill/>
                    <a:ln>
                      <a:noFill/>
                    </a:ln>
                    <a:extLst>
                      <a:ext uri="{53640926-AAD7-44D8-BBD7-CCE9431645EC}">
                        <a14:shadowObscured xmlns:a14="http://schemas.microsoft.com/office/drawing/2010/main"/>
                      </a:ext>
                    </a:extLst>
                  </pic:spPr>
                </pic:pic>
              </a:graphicData>
            </a:graphic>
          </wp:inline>
        </w:drawing>
      </w:r>
    </w:p>
    <w:p w:rsidR="000178B0" w:rsidRDefault="000178B0" w:rsidP="00C972BA">
      <w:pPr>
        <w:ind w:left="360"/>
        <w:rPr>
          <w:rFonts w:ascii="Garamond" w:hAnsi="Garamond"/>
          <w:sz w:val="26"/>
          <w:szCs w:val="26"/>
          <w:lang w:val="en-US"/>
        </w:rPr>
      </w:pPr>
      <w:r w:rsidRPr="00E823D3">
        <w:rPr>
          <w:rFonts w:ascii="Garamond" w:hAnsi="Garamond"/>
          <w:b/>
          <w:sz w:val="26"/>
          <w:szCs w:val="26"/>
        </w:rPr>
        <w:t xml:space="preserve">Figure 3. </w:t>
      </w:r>
      <w:r w:rsidR="008418C5" w:rsidRPr="00E823D3">
        <w:rPr>
          <w:rFonts w:ascii="Garamond" w:hAnsi="Garamond"/>
          <w:b/>
          <w:sz w:val="26"/>
          <w:szCs w:val="26"/>
        </w:rPr>
        <w:t>Phosphorus accumulation</w:t>
      </w:r>
      <w:r w:rsidR="008418C5" w:rsidRPr="00E823D3">
        <w:rPr>
          <w:rFonts w:ascii="Garamond" w:hAnsi="Garamond"/>
          <w:sz w:val="26"/>
          <w:szCs w:val="26"/>
        </w:rPr>
        <w:t xml:space="preserve"> (triplicate samples).  </w:t>
      </w:r>
      <w:r w:rsidR="008418C5">
        <w:rPr>
          <w:rFonts w:ascii="Garamond" w:hAnsi="Garamond"/>
          <w:sz w:val="26"/>
          <w:szCs w:val="26"/>
          <w:lang w:val="en-US"/>
        </w:rPr>
        <w:t>Final loading of 0.71 gram Phosphorus per gram of bacterial protein, which corresponds to 17% on a dry weight basis.  Enzymatic P extraction from biomass is much easier that chemical recovery from Rock Phosphate, and provides a convenient feedstock for renewable fertilizer production.</w:t>
      </w:r>
    </w:p>
    <w:p w:rsidR="008418C5" w:rsidRDefault="008418C5" w:rsidP="00C972BA">
      <w:pPr>
        <w:ind w:left="360"/>
        <w:rPr>
          <w:rFonts w:ascii="Garamond" w:hAnsi="Garamond"/>
          <w:sz w:val="26"/>
          <w:szCs w:val="26"/>
          <w:lang w:val="en-US"/>
        </w:rPr>
      </w:pPr>
    </w:p>
    <w:p w:rsidR="00C972BA" w:rsidRDefault="00C972BA" w:rsidP="00C972BA">
      <w:pPr>
        <w:pStyle w:val="Heading3"/>
        <w:numPr>
          <w:ilvl w:val="0"/>
          <w:numId w:val="9"/>
        </w:numPr>
        <w:spacing w:before="0" w:after="120"/>
        <w:rPr>
          <w:color w:val="149346"/>
          <w:lang w:val="en-US"/>
        </w:rPr>
      </w:pPr>
      <w:bookmarkStart w:id="11" w:name="_Toc403474326"/>
      <w:r>
        <w:rPr>
          <w:color w:val="149346"/>
          <w:lang w:val="en-US"/>
        </w:rPr>
        <w:t>PIARCS’s already mature IP</w:t>
      </w:r>
      <w:bookmarkEnd w:id="11"/>
    </w:p>
    <w:p w:rsidR="00D35A89" w:rsidRDefault="00D33F6F" w:rsidP="00C972BA">
      <w:pPr>
        <w:ind w:left="360"/>
        <w:rPr>
          <w:rFonts w:ascii="Garamond" w:hAnsi="Garamond"/>
          <w:sz w:val="26"/>
          <w:szCs w:val="26"/>
          <w:lang w:val="en-US"/>
        </w:rPr>
      </w:pPr>
      <w:r>
        <w:rPr>
          <w:rFonts w:ascii="Garamond" w:hAnsi="Garamond"/>
          <w:sz w:val="26"/>
          <w:szCs w:val="26"/>
          <w:lang w:val="en-US"/>
        </w:rPr>
        <w:t>Dr.</w:t>
      </w:r>
      <w:r w:rsidR="00E63BC7">
        <w:rPr>
          <w:rFonts w:ascii="Garamond" w:hAnsi="Garamond"/>
          <w:sz w:val="26"/>
          <w:szCs w:val="26"/>
          <w:lang w:val="en-US"/>
        </w:rPr>
        <w:t xml:space="preserve"> Holland</w:t>
      </w:r>
      <w:r w:rsidR="005F029B">
        <w:rPr>
          <w:rFonts w:ascii="Garamond" w:hAnsi="Garamond"/>
          <w:sz w:val="26"/>
          <w:szCs w:val="26"/>
          <w:lang w:val="en-US"/>
        </w:rPr>
        <w:t>’s discovery of the efficacy of PIARCS’ cells</w:t>
      </w:r>
      <w:r w:rsidR="00D35A89">
        <w:rPr>
          <w:rFonts w:ascii="Garamond" w:hAnsi="Garamond"/>
          <w:sz w:val="26"/>
          <w:szCs w:val="26"/>
          <w:lang w:val="en-US"/>
        </w:rPr>
        <w:t xml:space="preserve"> for phosphorus recovery and removal was achieved in various steps during her unpaid post-doctoral experiences.  These results were not published until she filed </w:t>
      </w:r>
      <w:r w:rsidR="00D35A89" w:rsidRPr="00611E65">
        <w:rPr>
          <w:rFonts w:ascii="Garamond" w:hAnsi="Garamond"/>
          <w:sz w:val="26"/>
          <w:szCs w:val="26"/>
          <w:lang w:val="en-US"/>
        </w:rPr>
        <w:t>the provisional patent</w:t>
      </w:r>
      <w:r w:rsidR="00D35A89">
        <w:rPr>
          <w:rFonts w:ascii="Garamond" w:hAnsi="Garamond"/>
          <w:sz w:val="26"/>
          <w:szCs w:val="26"/>
          <w:lang w:val="en-US"/>
        </w:rPr>
        <w:t xml:space="preserve"> “Methods of Phosphorus Sequestration Using </w:t>
      </w:r>
      <w:r w:rsidR="005F029B">
        <w:rPr>
          <w:rFonts w:ascii="Garamond" w:hAnsi="Garamond"/>
          <w:sz w:val="26"/>
          <w:szCs w:val="26"/>
          <w:lang w:val="en-US"/>
        </w:rPr>
        <w:t>(…)</w:t>
      </w:r>
      <w:r w:rsidR="00D35A89">
        <w:rPr>
          <w:rFonts w:ascii="Garamond" w:hAnsi="Garamond"/>
          <w:sz w:val="26"/>
          <w:szCs w:val="26"/>
          <w:lang w:val="en-US"/>
        </w:rPr>
        <w:t xml:space="preserve">” on April 7, 2014, assigned to PIARCS, PBC.  The provisional patent was drafted by Susan Graf at </w:t>
      </w:r>
      <w:r w:rsidR="00D35A89" w:rsidRPr="00D35A89">
        <w:rPr>
          <w:rFonts w:ascii="Garamond" w:hAnsi="Garamond"/>
          <w:sz w:val="26"/>
          <w:szCs w:val="26"/>
          <w:lang w:val="en-US"/>
        </w:rPr>
        <w:t>Klarquist Sparkman, LLP</w:t>
      </w:r>
      <w:r w:rsidR="00D35A89">
        <w:rPr>
          <w:rFonts w:ascii="Garamond" w:hAnsi="Garamond"/>
          <w:sz w:val="26"/>
          <w:szCs w:val="26"/>
          <w:lang w:val="en-US"/>
        </w:rPr>
        <w:t>.</w:t>
      </w:r>
    </w:p>
    <w:p w:rsidR="00255054" w:rsidRDefault="00E72333" w:rsidP="00C75D91">
      <w:pPr>
        <w:spacing w:after="0"/>
        <w:ind w:left="360"/>
        <w:rPr>
          <w:rFonts w:ascii="Garamond" w:hAnsi="Garamond"/>
          <w:sz w:val="26"/>
          <w:szCs w:val="26"/>
          <w:lang w:val="en-US"/>
        </w:rPr>
      </w:pPr>
      <w:r>
        <w:rPr>
          <w:rFonts w:ascii="Garamond" w:hAnsi="Garamond"/>
          <w:sz w:val="26"/>
          <w:szCs w:val="26"/>
          <w:lang w:val="en-US"/>
        </w:rPr>
        <w:t xml:space="preserve">In addition to her </w:t>
      </w:r>
      <w:r w:rsidR="00796A73">
        <w:rPr>
          <w:rFonts w:ascii="Garamond" w:hAnsi="Garamond"/>
          <w:sz w:val="26"/>
          <w:szCs w:val="26"/>
          <w:lang w:val="en-US"/>
        </w:rPr>
        <w:t>groundbreaking P sequestration</w:t>
      </w:r>
      <w:r>
        <w:rPr>
          <w:rFonts w:ascii="Garamond" w:hAnsi="Garamond"/>
          <w:sz w:val="26"/>
          <w:szCs w:val="26"/>
          <w:lang w:val="en-US"/>
        </w:rPr>
        <w:t xml:space="preserve"> results with the non-</w:t>
      </w:r>
      <w:r w:rsidR="00796A73">
        <w:rPr>
          <w:rFonts w:ascii="Garamond" w:hAnsi="Garamond"/>
          <w:sz w:val="26"/>
          <w:szCs w:val="26"/>
          <w:lang w:val="en-US"/>
        </w:rPr>
        <w:t>patho</w:t>
      </w:r>
      <w:r w:rsidR="005F029B">
        <w:rPr>
          <w:rFonts w:ascii="Garamond" w:hAnsi="Garamond"/>
          <w:sz w:val="26"/>
          <w:szCs w:val="26"/>
          <w:lang w:val="en-US"/>
        </w:rPr>
        <w:t>genic bacterium</w:t>
      </w:r>
      <w:r w:rsidR="00796A73">
        <w:rPr>
          <w:rFonts w:ascii="Garamond" w:hAnsi="Garamond"/>
          <w:sz w:val="26"/>
          <w:szCs w:val="26"/>
          <w:lang w:val="en-US"/>
        </w:rPr>
        <w:t xml:space="preserve">, Dr. Holland has </w:t>
      </w:r>
      <w:r w:rsidR="00A20602">
        <w:rPr>
          <w:rFonts w:ascii="Garamond" w:hAnsi="Garamond"/>
          <w:sz w:val="26"/>
          <w:szCs w:val="26"/>
          <w:lang w:val="en-US"/>
        </w:rPr>
        <w:t xml:space="preserve">complementary </w:t>
      </w:r>
      <w:r w:rsidR="00E90790">
        <w:rPr>
          <w:rFonts w:ascii="Garamond" w:hAnsi="Garamond"/>
          <w:sz w:val="26"/>
          <w:szCs w:val="26"/>
          <w:lang w:val="en-US"/>
        </w:rPr>
        <w:t xml:space="preserve">experience which will </w:t>
      </w:r>
      <w:r w:rsidR="00A20602">
        <w:rPr>
          <w:rFonts w:ascii="Garamond" w:hAnsi="Garamond"/>
          <w:sz w:val="26"/>
          <w:szCs w:val="26"/>
          <w:lang w:val="en-US"/>
        </w:rPr>
        <w:t>streamline the near-term application of this IP to wastewater treatment facilities.</w:t>
      </w:r>
      <w:r w:rsidR="00255054">
        <w:rPr>
          <w:rFonts w:ascii="Garamond" w:hAnsi="Garamond"/>
          <w:sz w:val="26"/>
          <w:szCs w:val="26"/>
          <w:lang w:val="en-US"/>
        </w:rPr>
        <w:t xml:space="preserve">  First, she has developed</w:t>
      </w:r>
      <w:r w:rsidR="00152E5D">
        <w:rPr>
          <w:rFonts w:ascii="Garamond" w:hAnsi="Garamond"/>
          <w:sz w:val="26"/>
          <w:szCs w:val="26"/>
          <w:lang w:val="en-US"/>
        </w:rPr>
        <w:t xml:space="preserve"> and optimized growth media for a bacterium as well as</w:t>
      </w:r>
      <w:r w:rsidR="00255054">
        <w:rPr>
          <w:rFonts w:ascii="Garamond" w:hAnsi="Garamond"/>
          <w:sz w:val="26"/>
          <w:szCs w:val="26"/>
          <w:lang w:val="en-US"/>
        </w:rPr>
        <w:t xml:space="preserve"> a series of microalgae:</w:t>
      </w:r>
    </w:p>
    <w:p w:rsidR="00255054" w:rsidRPr="00D733E0" w:rsidRDefault="00255054" w:rsidP="00C75D91">
      <w:pPr>
        <w:pStyle w:val="ListParagraph"/>
        <w:numPr>
          <w:ilvl w:val="0"/>
          <w:numId w:val="10"/>
        </w:numPr>
        <w:spacing w:after="0" w:line="240" w:lineRule="auto"/>
        <w:jc w:val="both"/>
        <w:rPr>
          <w:rFonts w:ascii="Garamond" w:hAnsi="Garamond"/>
          <w:sz w:val="26"/>
          <w:szCs w:val="26"/>
          <w:lang w:val="en-US"/>
        </w:rPr>
      </w:pPr>
      <w:r w:rsidRPr="00255054">
        <w:rPr>
          <w:rFonts w:ascii="Garamond" w:hAnsi="Garamond"/>
          <w:sz w:val="26"/>
          <w:szCs w:val="26"/>
          <w:lang w:val="en-US"/>
        </w:rPr>
        <w:t xml:space="preserve">Holland AD, Rothfuss HM and ME Lidstrom. </w:t>
      </w:r>
      <w:r w:rsidRPr="00255054">
        <w:rPr>
          <w:rFonts w:ascii="Garamond" w:hAnsi="Garamond"/>
          <w:sz w:val="26"/>
          <w:szCs w:val="26"/>
          <w:u w:val="single"/>
          <w:lang w:val="en-US"/>
        </w:rPr>
        <w:t xml:space="preserve">Development of a defined medium supporting rapid growth for </w:t>
      </w:r>
      <w:r w:rsidR="00D733E0">
        <w:rPr>
          <w:rFonts w:ascii="Garamond" w:hAnsi="Garamond"/>
          <w:i/>
          <w:sz w:val="26"/>
          <w:szCs w:val="26"/>
          <w:u w:val="single"/>
          <w:lang w:val="en-US"/>
        </w:rPr>
        <w:t>D.</w:t>
      </w:r>
      <w:r w:rsidRPr="00255054">
        <w:rPr>
          <w:rFonts w:ascii="Garamond" w:hAnsi="Garamond"/>
          <w:i/>
          <w:sz w:val="26"/>
          <w:szCs w:val="26"/>
          <w:u w:val="single"/>
          <w:lang w:val="en-US"/>
        </w:rPr>
        <w:t xml:space="preserve"> radiodurans</w:t>
      </w:r>
      <w:r w:rsidRPr="00255054">
        <w:rPr>
          <w:rFonts w:ascii="Garamond" w:hAnsi="Garamond"/>
          <w:sz w:val="26"/>
          <w:szCs w:val="26"/>
          <w:u w:val="single"/>
          <w:lang w:val="en-US"/>
        </w:rPr>
        <w:t xml:space="preserve"> and analysis of metabolic capacities</w:t>
      </w:r>
      <w:r w:rsidRPr="00255054">
        <w:rPr>
          <w:rFonts w:ascii="Garamond" w:hAnsi="Garamond"/>
          <w:sz w:val="26"/>
          <w:szCs w:val="26"/>
          <w:lang w:val="en-US"/>
        </w:rPr>
        <w:t xml:space="preserve">. </w:t>
      </w:r>
      <w:r w:rsidRPr="00D733E0">
        <w:rPr>
          <w:rFonts w:ascii="Garamond" w:hAnsi="Garamond"/>
          <w:sz w:val="26"/>
          <w:szCs w:val="26"/>
          <w:lang w:val="en-US"/>
        </w:rPr>
        <w:t xml:space="preserve">Applied Microbiology and Biotechnology. </w:t>
      </w:r>
      <w:r w:rsidRPr="00D733E0">
        <w:rPr>
          <w:rFonts w:ascii="Garamond" w:hAnsi="Garamond"/>
          <w:b/>
          <w:sz w:val="26"/>
          <w:szCs w:val="26"/>
          <w:lang w:val="en-US"/>
        </w:rPr>
        <w:t>2006</w:t>
      </w:r>
      <w:r w:rsidRPr="00D733E0">
        <w:rPr>
          <w:rFonts w:ascii="Garamond" w:hAnsi="Garamond"/>
          <w:sz w:val="26"/>
          <w:szCs w:val="26"/>
          <w:lang w:val="en-US"/>
        </w:rPr>
        <w:t xml:space="preserve"> 72 (5): 1074-82.</w:t>
      </w:r>
    </w:p>
    <w:p w:rsidR="00255054" w:rsidRDefault="00255054" w:rsidP="00C75D91">
      <w:pPr>
        <w:pStyle w:val="ListParagraph"/>
        <w:numPr>
          <w:ilvl w:val="0"/>
          <w:numId w:val="10"/>
        </w:numPr>
        <w:spacing w:after="0"/>
        <w:rPr>
          <w:rFonts w:ascii="Garamond" w:hAnsi="Garamond"/>
          <w:sz w:val="26"/>
          <w:szCs w:val="26"/>
          <w:lang w:val="en-US"/>
        </w:rPr>
      </w:pPr>
      <w:r w:rsidRPr="00E66ECD">
        <w:rPr>
          <w:rFonts w:ascii="Garamond" w:hAnsi="Garamond"/>
          <w:sz w:val="26"/>
          <w:szCs w:val="26"/>
          <w:lang w:val="en-GB"/>
        </w:rPr>
        <w:t xml:space="preserve">Holland AD, Dragavon J and DC Sigee. </w:t>
      </w:r>
      <w:r w:rsidRPr="00E66ECD">
        <w:rPr>
          <w:rFonts w:ascii="Garamond" w:hAnsi="Garamond"/>
          <w:sz w:val="26"/>
          <w:szCs w:val="26"/>
          <w:u w:val="single"/>
          <w:lang w:val="en-US"/>
        </w:rPr>
        <w:t xml:space="preserve">Methods for </w:t>
      </w:r>
      <w:r w:rsidR="00BB4DE2">
        <w:rPr>
          <w:rFonts w:ascii="Garamond" w:hAnsi="Garamond"/>
          <w:sz w:val="26"/>
          <w:szCs w:val="26"/>
          <w:u w:val="single"/>
          <w:lang w:val="en-US"/>
        </w:rPr>
        <w:t>e</w:t>
      </w:r>
      <w:r w:rsidRPr="00E66ECD">
        <w:rPr>
          <w:rFonts w:ascii="Garamond" w:hAnsi="Garamond"/>
          <w:sz w:val="26"/>
          <w:szCs w:val="26"/>
          <w:u w:val="single"/>
          <w:lang w:val="en-US"/>
        </w:rPr>
        <w:t xml:space="preserve">stimating </w:t>
      </w:r>
      <w:r w:rsidR="00BB4DE2">
        <w:rPr>
          <w:rFonts w:ascii="Garamond" w:hAnsi="Garamond"/>
          <w:sz w:val="26"/>
          <w:szCs w:val="26"/>
          <w:u w:val="single"/>
          <w:lang w:val="en-US"/>
        </w:rPr>
        <w:t>i</w:t>
      </w:r>
      <w:r w:rsidRPr="00E66ECD">
        <w:rPr>
          <w:rFonts w:ascii="Garamond" w:hAnsi="Garamond"/>
          <w:sz w:val="26"/>
          <w:szCs w:val="26"/>
          <w:u w:val="single"/>
          <w:lang w:val="en-US"/>
        </w:rPr>
        <w:t xml:space="preserve">ntrinsic </w:t>
      </w:r>
      <w:r w:rsidR="00BB4DE2">
        <w:rPr>
          <w:rFonts w:ascii="Garamond" w:hAnsi="Garamond"/>
          <w:sz w:val="26"/>
          <w:szCs w:val="26"/>
          <w:u w:val="single"/>
          <w:lang w:val="en-US"/>
        </w:rPr>
        <w:t>a</w:t>
      </w:r>
      <w:r w:rsidRPr="00E66ECD">
        <w:rPr>
          <w:rFonts w:ascii="Garamond" w:hAnsi="Garamond"/>
          <w:sz w:val="26"/>
          <w:szCs w:val="26"/>
          <w:u w:val="single"/>
          <w:lang w:val="en-US"/>
        </w:rPr>
        <w:t xml:space="preserve">utotrophic </w:t>
      </w:r>
      <w:r w:rsidR="00BB4DE2">
        <w:rPr>
          <w:rFonts w:ascii="Garamond" w:hAnsi="Garamond"/>
          <w:sz w:val="26"/>
          <w:szCs w:val="26"/>
          <w:u w:val="single"/>
          <w:lang w:val="en-US"/>
        </w:rPr>
        <w:t>b</w:t>
      </w:r>
      <w:r w:rsidRPr="00E66ECD">
        <w:rPr>
          <w:rFonts w:ascii="Garamond" w:hAnsi="Garamond"/>
          <w:sz w:val="26"/>
          <w:szCs w:val="26"/>
          <w:u w:val="single"/>
          <w:lang w:val="en-US"/>
        </w:rPr>
        <w:t xml:space="preserve">iomass </w:t>
      </w:r>
      <w:r w:rsidR="00BB4DE2">
        <w:rPr>
          <w:rFonts w:ascii="Garamond" w:hAnsi="Garamond"/>
          <w:sz w:val="26"/>
          <w:szCs w:val="26"/>
          <w:u w:val="single"/>
          <w:lang w:val="en-US"/>
        </w:rPr>
        <w:t>y</w:t>
      </w:r>
      <w:r w:rsidRPr="00E66ECD">
        <w:rPr>
          <w:rFonts w:ascii="Garamond" w:hAnsi="Garamond"/>
          <w:sz w:val="26"/>
          <w:szCs w:val="26"/>
          <w:u w:val="single"/>
          <w:lang w:val="en-US"/>
        </w:rPr>
        <w:t xml:space="preserve">ield and </w:t>
      </w:r>
      <w:r w:rsidR="00BB4DE2">
        <w:rPr>
          <w:rFonts w:ascii="Garamond" w:hAnsi="Garamond"/>
          <w:sz w:val="26"/>
          <w:szCs w:val="26"/>
          <w:u w:val="single"/>
          <w:lang w:val="en-US"/>
        </w:rPr>
        <w:t>p</w:t>
      </w:r>
      <w:r w:rsidRPr="00E66ECD">
        <w:rPr>
          <w:rFonts w:ascii="Garamond" w:hAnsi="Garamond"/>
          <w:sz w:val="26"/>
          <w:szCs w:val="26"/>
          <w:u w:val="single"/>
          <w:lang w:val="en-US"/>
        </w:rPr>
        <w:t xml:space="preserve">roductivity in </w:t>
      </w:r>
      <w:r w:rsidR="00BB4DE2">
        <w:rPr>
          <w:rFonts w:ascii="Garamond" w:hAnsi="Garamond"/>
          <w:sz w:val="26"/>
          <w:szCs w:val="26"/>
          <w:u w:val="single"/>
          <w:lang w:val="en-US"/>
        </w:rPr>
        <w:t>a</w:t>
      </w:r>
      <w:r w:rsidRPr="00E66ECD">
        <w:rPr>
          <w:rFonts w:ascii="Garamond" w:hAnsi="Garamond"/>
          <w:sz w:val="26"/>
          <w:szCs w:val="26"/>
          <w:u w:val="single"/>
          <w:lang w:val="en-US"/>
        </w:rPr>
        <w:t xml:space="preserve">lgae: Emphasis on </w:t>
      </w:r>
      <w:r w:rsidR="00BB4DE2">
        <w:rPr>
          <w:rFonts w:ascii="Garamond" w:hAnsi="Garamond"/>
          <w:sz w:val="26"/>
          <w:szCs w:val="26"/>
          <w:u w:val="single"/>
          <w:lang w:val="en-US"/>
        </w:rPr>
        <w:t>e</w:t>
      </w:r>
      <w:r w:rsidRPr="00E66ECD">
        <w:rPr>
          <w:rFonts w:ascii="Garamond" w:hAnsi="Garamond"/>
          <w:sz w:val="26"/>
          <w:szCs w:val="26"/>
          <w:u w:val="single"/>
          <w:lang w:val="en-US"/>
        </w:rPr>
        <w:t xml:space="preserve">xperimental </w:t>
      </w:r>
      <w:r w:rsidR="00BB4DE2">
        <w:rPr>
          <w:rFonts w:ascii="Garamond" w:hAnsi="Garamond"/>
          <w:sz w:val="26"/>
          <w:szCs w:val="26"/>
          <w:u w:val="single"/>
          <w:lang w:val="en-US"/>
        </w:rPr>
        <w:t>m</w:t>
      </w:r>
      <w:r w:rsidRPr="00E66ECD">
        <w:rPr>
          <w:rFonts w:ascii="Garamond" w:hAnsi="Garamond"/>
          <w:sz w:val="26"/>
          <w:szCs w:val="26"/>
          <w:u w:val="single"/>
          <w:lang w:val="en-US"/>
        </w:rPr>
        <w:t xml:space="preserve">ethods for </w:t>
      </w:r>
      <w:r w:rsidR="00BB4DE2">
        <w:rPr>
          <w:rFonts w:ascii="Garamond" w:hAnsi="Garamond"/>
          <w:sz w:val="26"/>
          <w:szCs w:val="26"/>
          <w:u w:val="single"/>
          <w:lang w:val="en-US"/>
        </w:rPr>
        <w:t>s</w:t>
      </w:r>
      <w:r w:rsidRPr="00E66ECD">
        <w:rPr>
          <w:rFonts w:ascii="Garamond" w:hAnsi="Garamond"/>
          <w:sz w:val="26"/>
          <w:szCs w:val="26"/>
          <w:u w:val="single"/>
          <w:lang w:val="en-US"/>
        </w:rPr>
        <w:t xml:space="preserve">train </w:t>
      </w:r>
      <w:r w:rsidR="00BB4DE2">
        <w:rPr>
          <w:rFonts w:ascii="Garamond" w:hAnsi="Garamond"/>
          <w:sz w:val="26"/>
          <w:szCs w:val="26"/>
          <w:u w:val="single"/>
          <w:lang w:val="en-US"/>
        </w:rPr>
        <w:t>s</w:t>
      </w:r>
      <w:r w:rsidRPr="00E66ECD">
        <w:rPr>
          <w:rFonts w:ascii="Garamond" w:hAnsi="Garamond"/>
          <w:sz w:val="26"/>
          <w:szCs w:val="26"/>
          <w:u w:val="single"/>
          <w:lang w:val="en-US"/>
        </w:rPr>
        <w:t>election</w:t>
      </w:r>
      <w:r w:rsidRPr="00E66ECD">
        <w:rPr>
          <w:rFonts w:ascii="Garamond" w:hAnsi="Garamond"/>
          <w:sz w:val="26"/>
          <w:szCs w:val="26"/>
          <w:lang w:val="en-US"/>
        </w:rPr>
        <w:t xml:space="preserve">. </w:t>
      </w:r>
      <w:r w:rsidRPr="00E66ECD">
        <w:rPr>
          <w:rFonts w:ascii="Garamond" w:hAnsi="Garamond"/>
          <w:i/>
          <w:iCs/>
          <w:sz w:val="26"/>
          <w:szCs w:val="26"/>
          <w:lang w:val="en-US"/>
        </w:rPr>
        <w:t>Biotechnology Journal</w:t>
      </w:r>
      <w:r w:rsidRPr="00E66ECD">
        <w:rPr>
          <w:rFonts w:ascii="Garamond" w:hAnsi="Garamond"/>
          <w:sz w:val="26"/>
          <w:szCs w:val="26"/>
          <w:lang w:val="en-US"/>
        </w:rPr>
        <w:t xml:space="preserve">. </w:t>
      </w:r>
      <w:r w:rsidRPr="00E66ECD">
        <w:rPr>
          <w:rFonts w:ascii="Garamond" w:hAnsi="Garamond"/>
          <w:b/>
          <w:bCs/>
          <w:sz w:val="26"/>
          <w:szCs w:val="26"/>
          <w:lang w:val="en-US"/>
        </w:rPr>
        <w:t>2011</w:t>
      </w:r>
      <w:r w:rsidRPr="00E66ECD">
        <w:rPr>
          <w:rFonts w:ascii="Garamond" w:hAnsi="Garamond"/>
          <w:sz w:val="26"/>
          <w:szCs w:val="26"/>
          <w:lang w:val="en-US"/>
        </w:rPr>
        <w:t xml:space="preserve"> 6:572-583</w:t>
      </w:r>
    </w:p>
    <w:p w:rsidR="00B05186" w:rsidRDefault="00B05186" w:rsidP="00C75D91">
      <w:pPr>
        <w:pStyle w:val="ListParagraph"/>
        <w:spacing w:after="0"/>
        <w:ind w:left="360"/>
        <w:rPr>
          <w:rFonts w:ascii="Garamond" w:hAnsi="Garamond"/>
          <w:sz w:val="26"/>
          <w:szCs w:val="26"/>
          <w:lang w:val="en-US"/>
        </w:rPr>
      </w:pPr>
    </w:p>
    <w:p w:rsidR="00C75D91" w:rsidRDefault="00BB4DE2" w:rsidP="00C75D91">
      <w:pPr>
        <w:pStyle w:val="ListParagraph"/>
        <w:spacing w:after="0"/>
        <w:ind w:left="360"/>
        <w:rPr>
          <w:rFonts w:ascii="Garamond" w:hAnsi="Garamond"/>
          <w:sz w:val="26"/>
          <w:szCs w:val="26"/>
          <w:lang w:val="en-US"/>
        </w:rPr>
      </w:pPr>
      <w:r w:rsidRPr="00611E65">
        <w:rPr>
          <w:rFonts w:ascii="Garamond" w:hAnsi="Garamond"/>
          <w:sz w:val="26"/>
          <w:szCs w:val="26"/>
          <w:lang w:val="en-US"/>
        </w:rPr>
        <w:t>Growth medium development will be key to</w:t>
      </w:r>
      <w:r w:rsidR="00B05186">
        <w:rPr>
          <w:rFonts w:ascii="Garamond" w:hAnsi="Garamond"/>
          <w:sz w:val="26"/>
          <w:szCs w:val="26"/>
          <w:lang w:val="en-US"/>
        </w:rPr>
        <w:t xml:space="preserve"> assess the suitability for</w:t>
      </w:r>
      <w:r w:rsidR="005F029B">
        <w:rPr>
          <w:rFonts w:ascii="Garamond" w:hAnsi="Garamond"/>
          <w:sz w:val="26"/>
          <w:szCs w:val="26"/>
          <w:lang w:val="en-US"/>
        </w:rPr>
        <w:t xml:space="preserve"> PIARCS’ strains </w:t>
      </w:r>
      <w:r w:rsidR="00B05186">
        <w:rPr>
          <w:rFonts w:ascii="Garamond" w:hAnsi="Garamond"/>
          <w:sz w:val="26"/>
          <w:szCs w:val="26"/>
          <w:lang w:val="en-US"/>
        </w:rPr>
        <w:t>to grow</w:t>
      </w:r>
      <w:r w:rsidRPr="00611E65">
        <w:rPr>
          <w:rFonts w:ascii="Garamond" w:hAnsi="Garamond"/>
          <w:sz w:val="26"/>
          <w:szCs w:val="26"/>
          <w:lang w:val="en-US"/>
        </w:rPr>
        <w:t xml:space="preserve"> on wastewater and </w:t>
      </w:r>
      <w:r w:rsidR="00B05186">
        <w:rPr>
          <w:rFonts w:ascii="Garamond" w:hAnsi="Garamond"/>
          <w:sz w:val="26"/>
          <w:szCs w:val="26"/>
          <w:lang w:val="en-US"/>
        </w:rPr>
        <w:t xml:space="preserve">perform </w:t>
      </w:r>
      <w:r w:rsidRPr="00611E65">
        <w:rPr>
          <w:rFonts w:ascii="Garamond" w:hAnsi="Garamond"/>
          <w:sz w:val="26"/>
          <w:szCs w:val="26"/>
          <w:lang w:val="en-US"/>
        </w:rPr>
        <w:t>P sequestration.</w:t>
      </w:r>
      <w:r w:rsidR="00C75D91">
        <w:rPr>
          <w:rFonts w:ascii="Garamond" w:hAnsi="Garamond"/>
          <w:sz w:val="26"/>
          <w:szCs w:val="26"/>
          <w:lang w:val="en-US"/>
        </w:rPr>
        <w:t xml:space="preserve">  The metabolic potentia</w:t>
      </w:r>
      <w:r w:rsidR="00110955">
        <w:rPr>
          <w:rFonts w:ascii="Garamond" w:hAnsi="Garamond"/>
          <w:sz w:val="26"/>
          <w:szCs w:val="26"/>
          <w:lang w:val="en-US"/>
        </w:rPr>
        <w:t>l and industrial versatility of</w:t>
      </w:r>
      <w:r w:rsidR="00C75D91">
        <w:rPr>
          <w:rFonts w:ascii="Garamond" w:hAnsi="Garamond"/>
          <w:sz w:val="26"/>
          <w:szCs w:val="26"/>
          <w:lang w:val="en-US"/>
        </w:rPr>
        <w:t xml:space="preserve"> non-pathogenic</w:t>
      </w:r>
      <w:r w:rsidR="005F029B">
        <w:rPr>
          <w:rFonts w:ascii="Garamond" w:hAnsi="Garamond"/>
          <w:sz w:val="26"/>
          <w:szCs w:val="26"/>
          <w:lang w:val="en-US"/>
        </w:rPr>
        <w:t xml:space="preserve"> bacteria are</w:t>
      </w:r>
      <w:r w:rsidR="00C75D91">
        <w:rPr>
          <w:rFonts w:ascii="Garamond" w:hAnsi="Garamond"/>
          <w:sz w:val="26"/>
          <w:szCs w:val="26"/>
          <w:lang w:val="en-US"/>
        </w:rPr>
        <w:t xml:space="preserve"> currently being exploited successfully by </w:t>
      </w:r>
      <w:r w:rsidR="005F029B">
        <w:rPr>
          <w:rFonts w:ascii="Garamond" w:hAnsi="Garamond"/>
          <w:sz w:val="26"/>
          <w:szCs w:val="26"/>
          <w:lang w:val="en-US"/>
        </w:rPr>
        <w:t xml:space="preserve">a French company in the area of </w:t>
      </w:r>
      <w:r w:rsidR="00C75D91">
        <w:rPr>
          <w:rFonts w:ascii="Garamond" w:hAnsi="Garamond"/>
          <w:sz w:val="26"/>
          <w:szCs w:val="26"/>
          <w:lang w:val="en-US"/>
        </w:rPr>
        <w:t>nutraceuticals and green chem</w:t>
      </w:r>
      <w:r w:rsidR="005F029B">
        <w:rPr>
          <w:rFonts w:ascii="Garamond" w:hAnsi="Garamond"/>
          <w:sz w:val="26"/>
          <w:szCs w:val="26"/>
          <w:lang w:val="en-US"/>
        </w:rPr>
        <w:t>istry</w:t>
      </w:r>
      <w:r w:rsidR="00C75D91">
        <w:rPr>
          <w:rFonts w:ascii="Garamond" w:hAnsi="Garamond"/>
          <w:sz w:val="26"/>
          <w:szCs w:val="26"/>
          <w:lang w:val="en-US"/>
        </w:rPr>
        <w:t>.</w:t>
      </w:r>
    </w:p>
    <w:p w:rsidR="00C75D91" w:rsidRPr="008B4EB1" w:rsidRDefault="00C75D91" w:rsidP="00C75D91">
      <w:pPr>
        <w:pStyle w:val="ListParagraph"/>
        <w:spacing w:after="0"/>
        <w:ind w:left="360"/>
        <w:rPr>
          <w:rFonts w:ascii="Garamond" w:hAnsi="Garamond"/>
          <w:sz w:val="26"/>
          <w:szCs w:val="26"/>
          <w:lang w:val="en-US"/>
        </w:rPr>
      </w:pPr>
    </w:p>
    <w:p w:rsidR="00C75D91" w:rsidRDefault="00BB4DE2" w:rsidP="00C75D91">
      <w:pPr>
        <w:pStyle w:val="ListParagraph"/>
        <w:spacing w:after="0"/>
        <w:ind w:left="360"/>
        <w:rPr>
          <w:rFonts w:ascii="Garamond" w:hAnsi="Garamond"/>
          <w:sz w:val="26"/>
          <w:szCs w:val="26"/>
          <w:lang w:val="en-US"/>
        </w:rPr>
      </w:pPr>
      <w:r w:rsidRPr="00611E65">
        <w:rPr>
          <w:rFonts w:ascii="Garamond" w:hAnsi="Garamond"/>
          <w:sz w:val="26"/>
          <w:szCs w:val="26"/>
          <w:lang w:val="en-US"/>
        </w:rPr>
        <w:t xml:space="preserve">Second, </w:t>
      </w:r>
      <w:r w:rsidR="00D03D25" w:rsidRPr="00611E65">
        <w:rPr>
          <w:rFonts w:ascii="Garamond" w:hAnsi="Garamond"/>
          <w:sz w:val="26"/>
          <w:szCs w:val="26"/>
          <w:lang w:val="en-US"/>
        </w:rPr>
        <w:t xml:space="preserve">during her PhD with renowned Microbiology Professor Mary Lidstrom (University of Washington, Seattle, WA) as well as during her post-doctoral experiences, </w:t>
      </w:r>
      <w:r w:rsidRPr="00611E65">
        <w:rPr>
          <w:rFonts w:ascii="Garamond" w:hAnsi="Garamond"/>
          <w:sz w:val="26"/>
          <w:szCs w:val="26"/>
          <w:lang w:val="en-US"/>
        </w:rPr>
        <w:t xml:space="preserve">Dr. </w:t>
      </w:r>
      <w:r w:rsidR="00D03D25" w:rsidRPr="00611E65">
        <w:rPr>
          <w:rFonts w:ascii="Garamond" w:hAnsi="Garamond"/>
          <w:sz w:val="26"/>
          <w:szCs w:val="26"/>
          <w:lang w:val="en-US"/>
        </w:rPr>
        <w:t xml:space="preserve">Holland has </w:t>
      </w:r>
      <w:r w:rsidR="005F029B">
        <w:rPr>
          <w:rFonts w:ascii="Garamond" w:hAnsi="Garamond"/>
          <w:sz w:val="26"/>
          <w:szCs w:val="26"/>
          <w:lang w:val="en-US"/>
        </w:rPr>
        <w:t>developed an extensive experience in genetic engineering of bacteria</w:t>
      </w:r>
      <w:r w:rsidR="00D03D25" w:rsidRPr="00611E65">
        <w:rPr>
          <w:rFonts w:ascii="Garamond" w:hAnsi="Garamond"/>
          <w:sz w:val="26"/>
          <w:szCs w:val="26"/>
          <w:lang w:val="en-US"/>
        </w:rPr>
        <w:t xml:space="preserve">.  </w:t>
      </w:r>
    </w:p>
    <w:p w:rsidR="00B05186" w:rsidRPr="00B05186" w:rsidRDefault="00B05186" w:rsidP="00C75D91">
      <w:pPr>
        <w:pStyle w:val="ListParagraph"/>
        <w:spacing w:after="0"/>
        <w:ind w:left="360"/>
        <w:rPr>
          <w:rFonts w:ascii="Garamond" w:hAnsi="Garamond"/>
          <w:sz w:val="26"/>
          <w:szCs w:val="26"/>
          <w:lang w:val="en-US"/>
        </w:rPr>
      </w:pPr>
    </w:p>
    <w:p w:rsidR="00D85664" w:rsidRDefault="00393FB9" w:rsidP="00C75D91">
      <w:pPr>
        <w:pStyle w:val="ListParagraph"/>
        <w:spacing w:after="0"/>
        <w:ind w:left="360"/>
        <w:rPr>
          <w:rFonts w:ascii="Garamond" w:hAnsi="Garamond"/>
          <w:sz w:val="26"/>
          <w:szCs w:val="26"/>
          <w:lang w:val="en-US"/>
        </w:rPr>
      </w:pPr>
      <w:r w:rsidRPr="00611E65">
        <w:rPr>
          <w:rFonts w:ascii="Garamond" w:hAnsi="Garamond"/>
          <w:sz w:val="26"/>
          <w:szCs w:val="26"/>
          <w:lang w:val="en-US"/>
        </w:rPr>
        <w:t>Third, her undergraduate experience in Jay Keasling’s lab working on Enhanced Biological Phosphorus Removal</w:t>
      </w:r>
      <w:r>
        <w:rPr>
          <w:rFonts w:ascii="Garamond" w:hAnsi="Garamond"/>
          <w:sz w:val="26"/>
          <w:szCs w:val="26"/>
          <w:lang w:val="en-US"/>
        </w:rPr>
        <w:t xml:space="preserve"> gave her great perspective about the prospect</w:t>
      </w:r>
      <w:r w:rsidR="00C75D91">
        <w:rPr>
          <w:rFonts w:ascii="Garamond" w:hAnsi="Garamond"/>
          <w:sz w:val="26"/>
          <w:szCs w:val="26"/>
          <w:lang w:val="en-US"/>
        </w:rPr>
        <w:t>s and limitations in this field, as well as key professional connections.</w:t>
      </w:r>
      <w:r w:rsidR="00D163B0">
        <w:rPr>
          <w:rFonts w:ascii="Garamond" w:hAnsi="Garamond"/>
          <w:sz w:val="26"/>
          <w:szCs w:val="26"/>
          <w:lang w:val="en-US"/>
        </w:rPr>
        <w:t xml:space="preserve">  </w:t>
      </w:r>
    </w:p>
    <w:p w:rsidR="00D163B0" w:rsidRPr="00B05186" w:rsidRDefault="00D163B0" w:rsidP="00255054">
      <w:pPr>
        <w:pStyle w:val="ListParagraph"/>
        <w:ind w:left="360"/>
        <w:rPr>
          <w:rFonts w:ascii="Garamond" w:hAnsi="Garamond"/>
          <w:sz w:val="26"/>
          <w:szCs w:val="26"/>
          <w:lang w:val="en-US"/>
        </w:rPr>
      </w:pPr>
    </w:p>
    <w:p w:rsidR="00B14191" w:rsidRDefault="00E46D91" w:rsidP="00BA4474">
      <w:pPr>
        <w:pStyle w:val="ListParagraph"/>
        <w:ind w:left="360"/>
        <w:rPr>
          <w:rFonts w:ascii="Garamond" w:hAnsi="Garamond"/>
          <w:sz w:val="26"/>
          <w:szCs w:val="26"/>
          <w:lang w:val="en-US"/>
        </w:rPr>
      </w:pPr>
      <w:r>
        <w:rPr>
          <w:rFonts w:ascii="Garamond" w:hAnsi="Garamond"/>
          <w:sz w:val="26"/>
          <w:szCs w:val="26"/>
          <w:lang w:val="en-US"/>
        </w:rPr>
        <w:t xml:space="preserve">The unexpected P sequestration capacity </w:t>
      </w:r>
      <w:r w:rsidR="005F029B">
        <w:rPr>
          <w:rFonts w:ascii="Garamond" w:hAnsi="Garamond"/>
          <w:sz w:val="26"/>
          <w:szCs w:val="26"/>
          <w:lang w:val="en-US"/>
        </w:rPr>
        <w:t>from</w:t>
      </w:r>
      <w:r>
        <w:rPr>
          <w:rFonts w:ascii="Garamond" w:hAnsi="Garamond"/>
          <w:sz w:val="26"/>
          <w:szCs w:val="26"/>
          <w:lang w:val="en-US"/>
        </w:rPr>
        <w:t xml:space="preserve"> </w:t>
      </w:r>
      <w:r w:rsidR="005F029B">
        <w:rPr>
          <w:rFonts w:ascii="Garamond" w:hAnsi="Garamond"/>
          <w:sz w:val="26"/>
          <w:szCs w:val="26"/>
          <w:lang w:val="en-US"/>
        </w:rPr>
        <w:t xml:space="preserve">PIARCS’ proprietary strains </w:t>
      </w:r>
      <w:r w:rsidR="003C2E90">
        <w:rPr>
          <w:rFonts w:ascii="Garamond" w:hAnsi="Garamond"/>
          <w:sz w:val="26"/>
          <w:szCs w:val="26"/>
          <w:lang w:val="en-US"/>
        </w:rPr>
        <w:t>enjoys</w:t>
      </w:r>
      <w:r>
        <w:rPr>
          <w:rFonts w:ascii="Garamond" w:hAnsi="Garamond"/>
          <w:sz w:val="26"/>
          <w:szCs w:val="26"/>
          <w:lang w:val="en-US"/>
        </w:rPr>
        <w:t xml:space="preserve"> a very favorable patent landscape.  Indeed, patent searches have retrieved solely unrelated approaches to biological P accumulation.  Indeed, EBPR relies on bacterial populations, and genetic engineering approaches in </w:t>
      </w:r>
      <w:r w:rsidRPr="00E46D91">
        <w:rPr>
          <w:rFonts w:ascii="Garamond" w:hAnsi="Garamond"/>
          <w:i/>
          <w:sz w:val="26"/>
          <w:szCs w:val="26"/>
          <w:lang w:val="en-US"/>
        </w:rPr>
        <w:t>E. coli</w:t>
      </w:r>
      <w:r>
        <w:rPr>
          <w:rFonts w:ascii="Garamond" w:hAnsi="Garamond"/>
          <w:sz w:val="26"/>
          <w:szCs w:val="26"/>
          <w:lang w:val="en-US"/>
        </w:rPr>
        <w:t xml:space="preserve"> involve different sets of genes.</w:t>
      </w:r>
      <w:r w:rsidR="00B14191">
        <w:rPr>
          <w:rFonts w:ascii="Garamond" w:hAnsi="Garamond"/>
          <w:sz w:val="26"/>
          <w:szCs w:val="26"/>
          <w:lang w:val="en-US"/>
        </w:rPr>
        <w:br w:type="page"/>
      </w:r>
    </w:p>
    <w:p w:rsidR="00B14191" w:rsidRDefault="00B14191" w:rsidP="00E46D91">
      <w:pPr>
        <w:pStyle w:val="ListParagraph"/>
        <w:ind w:left="360"/>
        <w:rPr>
          <w:rFonts w:ascii="Garamond" w:hAnsi="Garamond"/>
          <w:sz w:val="26"/>
          <w:szCs w:val="26"/>
          <w:lang w:val="en-US"/>
        </w:rPr>
      </w:pPr>
    </w:p>
    <w:p w:rsidR="00FC603E" w:rsidRPr="00C972BA" w:rsidRDefault="0050047D" w:rsidP="00FC603E">
      <w:pPr>
        <w:pStyle w:val="Heading2"/>
        <w:rPr>
          <w:b/>
          <w:color w:val="149346"/>
          <w:lang w:val="en-US"/>
        </w:rPr>
      </w:pPr>
      <w:bookmarkStart w:id="12" w:name="_Toc403474327"/>
      <w:r>
        <w:rPr>
          <w:b/>
          <w:color w:val="149346"/>
          <w:lang w:val="en-US"/>
        </w:rPr>
        <w:t>E</w:t>
      </w:r>
      <w:r w:rsidR="00FC603E" w:rsidRPr="00034C1B">
        <w:rPr>
          <w:b/>
          <w:color w:val="149346"/>
          <w:lang w:val="en-US"/>
        </w:rPr>
        <w:t xml:space="preserve"> </w:t>
      </w:r>
      <w:r w:rsidR="00FC603E">
        <w:rPr>
          <w:b/>
          <w:color w:val="149346"/>
          <w:lang w:val="en-US"/>
        </w:rPr>
        <w:t>–</w:t>
      </w:r>
      <w:r w:rsidR="00FC603E" w:rsidRPr="00034C1B">
        <w:rPr>
          <w:b/>
          <w:color w:val="149346"/>
          <w:lang w:val="en-US"/>
        </w:rPr>
        <w:t xml:space="preserve"> </w:t>
      </w:r>
      <w:r w:rsidR="00FC603E" w:rsidRPr="00C972BA">
        <w:rPr>
          <w:b/>
          <w:color w:val="149346"/>
          <w:lang w:val="en-US"/>
        </w:rPr>
        <w:t xml:space="preserve">Market </w:t>
      </w:r>
      <w:r w:rsidR="00FC603E">
        <w:rPr>
          <w:b/>
          <w:color w:val="149346"/>
          <w:lang w:val="en-US"/>
        </w:rPr>
        <w:t>potential and expansion strategy</w:t>
      </w:r>
      <w:bookmarkEnd w:id="12"/>
      <w:r w:rsidR="00FC603E" w:rsidRPr="00C972BA">
        <w:rPr>
          <w:b/>
          <w:color w:val="149346"/>
          <w:lang w:val="en-US"/>
        </w:rPr>
        <w:t xml:space="preserve"> </w:t>
      </w:r>
    </w:p>
    <w:p w:rsidR="00FC603E" w:rsidRPr="00E6602F" w:rsidRDefault="00FC603E" w:rsidP="00E6602F">
      <w:pPr>
        <w:spacing w:after="0"/>
        <w:rPr>
          <w:rFonts w:ascii="Garamond" w:hAnsi="Garamond"/>
          <w:sz w:val="26"/>
          <w:szCs w:val="26"/>
          <w:lang w:val="en-US"/>
        </w:rPr>
      </w:pPr>
    </w:p>
    <w:p w:rsidR="00C577D4" w:rsidRDefault="00F349BA" w:rsidP="004E00F4">
      <w:pPr>
        <w:spacing w:after="120"/>
        <w:ind w:left="360"/>
        <w:rPr>
          <w:rFonts w:ascii="Garamond" w:hAnsi="Garamond"/>
          <w:sz w:val="26"/>
          <w:szCs w:val="26"/>
          <w:lang w:val="en-US"/>
        </w:rPr>
      </w:pPr>
      <w:r>
        <w:rPr>
          <w:rFonts w:ascii="Garamond" w:hAnsi="Garamond"/>
          <w:sz w:val="26"/>
          <w:szCs w:val="26"/>
          <w:lang w:val="en-US"/>
        </w:rPr>
        <w:t>PIARCS’ licensing prices are</w:t>
      </w:r>
      <w:r w:rsidR="009043E7">
        <w:rPr>
          <w:rFonts w:ascii="Garamond" w:hAnsi="Garamond"/>
          <w:sz w:val="26"/>
          <w:szCs w:val="26"/>
          <w:lang w:val="en-US"/>
        </w:rPr>
        <w:t xml:space="preserve"> </w:t>
      </w:r>
      <w:r w:rsidR="00C577D4">
        <w:rPr>
          <w:rFonts w:ascii="Garamond" w:hAnsi="Garamond"/>
          <w:sz w:val="26"/>
          <w:szCs w:val="26"/>
          <w:lang w:val="en-US"/>
        </w:rPr>
        <w:t xml:space="preserve">designed to promote broad implementation of the technology.  The fee is </w:t>
      </w:r>
      <w:r w:rsidR="00F279F8">
        <w:rPr>
          <w:rFonts w:ascii="Garamond" w:hAnsi="Garamond"/>
          <w:sz w:val="26"/>
          <w:szCs w:val="26"/>
          <w:lang w:val="en-US"/>
        </w:rPr>
        <w:t>designed to be on the order of 2</w:t>
      </w:r>
      <w:r w:rsidR="00C577D4">
        <w:rPr>
          <w:rFonts w:ascii="Garamond" w:hAnsi="Garamond"/>
          <w:sz w:val="26"/>
          <w:szCs w:val="26"/>
          <w:lang w:val="en-US"/>
        </w:rPr>
        <w:t>-10% of the final commodity retail value, whether the commodity is algal biomass, biodiesel, dried P-laden bacterial biomass or clean water.</w:t>
      </w:r>
      <w:r w:rsidR="00F279F8">
        <w:rPr>
          <w:rFonts w:ascii="Garamond" w:hAnsi="Garamond"/>
          <w:sz w:val="26"/>
          <w:szCs w:val="26"/>
          <w:lang w:val="en-US"/>
        </w:rPr>
        <w:t xml:space="preserve">  The range given accounts for </w:t>
      </w:r>
      <w:r w:rsidR="00C54853">
        <w:rPr>
          <w:rFonts w:ascii="Garamond" w:hAnsi="Garamond"/>
          <w:sz w:val="26"/>
          <w:szCs w:val="26"/>
          <w:lang w:val="en-US"/>
        </w:rPr>
        <w:t xml:space="preserve">recent </w:t>
      </w:r>
      <w:r w:rsidR="00F279F8">
        <w:rPr>
          <w:rFonts w:ascii="Garamond" w:hAnsi="Garamond"/>
          <w:sz w:val="26"/>
          <w:szCs w:val="26"/>
          <w:lang w:val="en-US"/>
        </w:rPr>
        <w:t>commodity price variability.</w:t>
      </w:r>
      <w:r w:rsidR="00C54853">
        <w:rPr>
          <w:rFonts w:ascii="Garamond" w:hAnsi="Garamond"/>
          <w:sz w:val="26"/>
          <w:szCs w:val="26"/>
          <w:lang w:val="en-US"/>
        </w:rPr>
        <w:t xml:space="preserve">  The fee itself will be the same for all customers, with adjustments for emerging economies and inflation, fixed in time and proportional to actual yearly commodity production.  This model intends to create an equally favorable environment for large corporations, start-ups or farmers transitioning to the implementation of PIARCS’</w:t>
      </w:r>
      <w:r w:rsidR="009F4910">
        <w:rPr>
          <w:rFonts w:ascii="Garamond" w:hAnsi="Garamond"/>
          <w:sz w:val="26"/>
          <w:szCs w:val="26"/>
          <w:lang w:val="en-US"/>
        </w:rPr>
        <w:t xml:space="preserve"> IP.</w:t>
      </w:r>
    </w:p>
    <w:p w:rsidR="00E352E5" w:rsidRDefault="00E352E5" w:rsidP="009225D4">
      <w:pPr>
        <w:spacing w:after="120"/>
        <w:ind w:left="360"/>
        <w:rPr>
          <w:rFonts w:ascii="Garamond" w:hAnsi="Garamond"/>
          <w:sz w:val="26"/>
          <w:szCs w:val="26"/>
          <w:lang w:val="en-US"/>
        </w:rPr>
      </w:pPr>
    </w:p>
    <w:p w:rsidR="009225D4" w:rsidRDefault="009225D4" w:rsidP="009225D4">
      <w:pPr>
        <w:spacing w:after="120"/>
        <w:ind w:left="360"/>
        <w:rPr>
          <w:rFonts w:ascii="Garamond" w:hAnsi="Garamond"/>
          <w:sz w:val="26"/>
          <w:szCs w:val="26"/>
          <w:lang w:val="en-US"/>
        </w:rPr>
      </w:pPr>
      <w:r>
        <w:rPr>
          <w:rFonts w:ascii="Garamond" w:hAnsi="Garamond"/>
          <w:sz w:val="26"/>
          <w:szCs w:val="26"/>
          <w:lang w:val="en-US"/>
        </w:rPr>
        <w:t>PIARCS’ US and European markets are given as examples below:</w:t>
      </w:r>
    </w:p>
    <w:p w:rsidR="009225D4" w:rsidRDefault="00E41E95" w:rsidP="009225D4">
      <w:pPr>
        <w:pStyle w:val="ListParagraph"/>
        <w:spacing w:after="120"/>
        <w:ind w:left="0"/>
        <w:jc w:val="center"/>
        <w:rPr>
          <w:rFonts w:ascii="Garamond" w:hAnsi="Garamond"/>
          <w:sz w:val="26"/>
          <w:szCs w:val="26"/>
          <w:lang w:val="en-US"/>
        </w:rPr>
      </w:pPr>
      <w:r>
        <w:rPr>
          <w:rFonts w:ascii="Garamond" w:hAnsi="Garamond"/>
          <w:noProof/>
          <w:sz w:val="26"/>
          <w:szCs w:val="26"/>
          <w:lang w:val="en-US"/>
        </w:rPr>
        <w:drawing>
          <wp:inline distT="0" distB="0" distL="0" distR="0" wp14:anchorId="49FC27CD">
            <wp:extent cx="4571515" cy="2089785"/>
            <wp:effectExtent l="0" t="0" r="63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7191"/>
                    <a:stretch/>
                  </pic:blipFill>
                  <pic:spPr bwMode="auto">
                    <a:xfrm>
                      <a:off x="0" y="0"/>
                      <a:ext cx="4572000" cy="2090007"/>
                    </a:xfrm>
                    <a:prstGeom prst="rect">
                      <a:avLst/>
                    </a:prstGeom>
                    <a:noFill/>
                    <a:ln>
                      <a:noFill/>
                    </a:ln>
                    <a:extLst>
                      <a:ext uri="{53640926-AAD7-44D8-BBD7-CCE9431645EC}">
                        <a14:shadowObscured xmlns:a14="http://schemas.microsoft.com/office/drawing/2010/main"/>
                      </a:ext>
                    </a:extLst>
                  </pic:spPr>
                </pic:pic>
              </a:graphicData>
            </a:graphic>
          </wp:inline>
        </w:drawing>
      </w:r>
    </w:p>
    <w:p w:rsidR="00B14191" w:rsidRDefault="00B14191" w:rsidP="009225D4">
      <w:pPr>
        <w:pStyle w:val="ListParagraph"/>
        <w:spacing w:after="120"/>
        <w:ind w:left="360"/>
        <w:rPr>
          <w:rFonts w:ascii="Garamond" w:hAnsi="Garamond"/>
          <w:sz w:val="26"/>
          <w:szCs w:val="26"/>
          <w:lang w:val="en-US"/>
        </w:rPr>
      </w:pPr>
      <w:r w:rsidRPr="00B14191">
        <w:rPr>
          <w:rFonts w:ascii="Garamond" w:hAnsi="Garamond"/>
          <w:b/>
          <w:sz w:val="26"/>
          <w:szCs w:val="26"/>
          <w:lang w:val="en-US"/>
        </w:rPr>
        <w:t xml:space="preserve">Figure </w:t>
      </w:r>
      <w:r w:rsidR="00DF0715">
        <w:rPr>
          <w:rFonts w:ascii="Garamond" w:hAnsi="Garamond"/>
          <w:b/>
          <w:sz w:val="26"/>
          <w:szCs w:val="26"/>
          <w:lang w:val="en-US"/>
        </w:rPr>
        <w:t>4</w:t>
      </w:r>
      <w:r>
        <w:rPr>
          <w:rFonts w:ascii="Garamond" w:hAnsi="Garamond"/>
          <w:sz w:val="26"/>
          <w:szCs w:val="26"/>
          <w:lang w:val="en-US"/>
        </w:rPr>
        <w:t>. PIARCS’ revenue potential</w:t>
      </w:r>
    </w:p>
    <w:p w:rsidR="00B14191" w:rsidRPr="00B14191" w:rsidRDefault="00B14191" w:rsidP="009225D4">
      <w:pPr>
        <w:pStyle w:val="ListParagraph"/>
        <w:spacing w:after="120"/>
        <w:ind w:left="360"/>
        <w:rPr>
          <w:rFonts w:ascii="Garamond" w:hAnsi="Garamond"/>
          <w:sz w:val="14"/>
          <w:szCs w:val="14"/>
          <w:lang w:val="en-US"/>
        </w:rPr>
      </w:pPr>
    </w:p>
    <w:p w:rsidR="009225D4" w:rsidRDefault="009225D4" w:rsidP="009225D4">
      <w:pPr>
        <w:pStyle w:val="ListParagraph"/>
        <w:spacing w:after="120"/>
        <w:ind w:left="360"/>
        <w:rPr>
          <w:rFonts w:ascii="Garamond" w:hAnsi="Garamond"/>
          <w:sz w:val="26"/>
          <w:szCs w:val="26"/>
          <w:lang w:val="en-US"/>
        </w:rPr>
      </w:pPr>
      <w:r>
        <w:rPr>
          <w:rFonts w:ascii="Garamond" w:hAnsi="Garamond"/>
          <w:sz w:val="26"/>
          <w:szCs w:val="26"/>
          <w:lang w:val="en-US"/>
        </w:rPr>
        <w:t xml:space="preserve">Actual market penetration dynamics will depend on a successful expansion strategy based on industrial cooperation and public support.  </w:t>
      </w:r>
    </w:p>
    <w:p w:rsidR="00E352E5" w:rsidRDefault="00E352E5" w:rsidP="009225D4">
      <w:pPr>
        <w:spacing w:after="60"/>
        <w:ind w:left="360"/>
        <w:rPr>
          <w:rFonts w:ascii="Garamond" w:hAnsi="Garamond"/>
          <w:sz w:val="26"/>
          <w:szCs w:val="26"/>
          <w:lang w:val="en-US"/>
        </w:rPr>
      </w:pPr>
    </w:p>
    <w:p w:rsidR="009225D4" w:rsidRDefault="009225D4" w:rsidP="009225D4">
      <w:pPr>
        <w:spacing w:after="60"/>
        <w:ind w:left="360"/>
        <w:rPr>
          <w:rFonts w:ascii="Garamond" w:hAnsi="Garamond"/>
          <w:sz w:val="26"/>
          <w:szCs w:val="26"/>
          <w:lang w:val="en-US"/>
        </w:rPr>
      </w:pPr>
      <w:r>
        <w:rPr>
          <w:rFonts w:ascii="Garamond" w:hAnsi="Garamond"/>
          <w:sz w:val="26"/>
          <w:szCs w:val="26"/>
          <w:lang w:val="en-US"/>
        </w:rPr>
        <w:t>PIARCS expects to reach 100% of the markets in the next 10-20 years for the following reasons:</w:t>
      </w:r>
    </w:p>
    <w:p w:rsidR="009225D4" w:rsidRDefault="009225D4" w:rsidP="009225D4">
      <w:pPr>
        <w:pStyle w:val="ListParagraph"/>
        <w:numPr>
          <w:ilvl w:val="0"/>
          <w:numId w:val="11"/>
        </w:numPr>
        <w:spacing w:after="120"/>
        <w:rPr>
          <w:rFonts w:ascii="Garamond" w:hAnsi="Garamond"/>
          <w:sz w:val="26"/>
          <w:szCs w:val="26"/>
          <w:lang w:val="en-US"/>
        </w:rPr>
      </w:pPr>
      <w:r w:rsidRPr="00612DCC">
        <w:rPr>
          <w:rFonts w:ascii="Garamond" w:hAnsi="Garamond"/>
          <w:sz w:val="26"/>
          <w:szCs w:val="26"/>
          <w:lang w:val="en-US"/>
        </w:rPr>
        <w:t>PIARCS consolidates R&amp;D efforts and shares the benefits with all licensees.  The annual licensing fee is proportional to production an</w:t>
      </w:r>
      <w:r>
        <w:rPr>
          <w:rFonts w:ascii="Garamond" w:hAnsi="Garamond"/>
          <w:sz w:val="26"/>
          <w:szCs w:val="26"/>
          <w:lang w:val="en-US"/>
        </w:rPr>
        <w:t>d constant.</w:t>
      </w:r>
    </w:p>
    <w:p w:rsidR="009225D4" w:rsidRPr="00612DCC" w:rsidRDefault="009225D4" w:rsidP="009225D4">
      <w:pPr>
        <w:pStyle w:val="ListParagraph"/>
        <w:numPr>
          <w:ilvl w:val="0"/>
          <w:numId w:val="11"/>
        </w:numPr>
        <w:spacing w:after="120"/>
        <w:rPr>
          <w:rFonts w:ascii="Garamond" w:hAnsi="Garamond"/>
          <w:sz w:val="26"/>
          <w:szCs w:val="26"/>
          <w:lang w:val="en-US"/>
        </w:rPr>
      </w:pPr>
      <w:r w:rsidRPr="00612DCC">
        <w:rPr>
          <w:rFonts w:ascii="Garamond" w:hAnsi="Garamond"/>
          <w:sz w:val="26"/>
          <w:szCs w:val="26"/>
          <w:lang w:val="en-US"/>
        </w:rPr>
        <w:t>In-turn, as the industry expands more quickly thanks to these consolidated R&amp;D efforts, this will allow to reach the critical mass needed to engage policy-making and large-scale infrastructure discussions at the government level.  Indeed, the expansion dynamics of this emerging sustainable industry will quickly depend on a broader social and political context, which needs to be addressed collectively by the industry.</w:t>
      </w:r>
    </w:p>
    <w:p w:rsidR="009225D4" w:rsidRDefault="009225D4" w:rsidP="009225D4">
      <w:pPr>
        <w:pStyle w:val="ListParagraph"/>
        <w:numPr>
          <w:ilvl w:val="0"/>
          <w:numId w:val="11"/>
        </w:numPr>
        <w:spacing w:after="120"/>
        <w:rPr>
          <w:rFonts w:ascii="Garamond" w:hAnsi="Garamond"/>
          <w:sz w:val="26"/>
          <w:szCs w:val="26"/>
          <w:lang w:val="en-US"/>
        </w:rPr>
      </w:pPr>
      <w:r>
        <w:rPr>
          <w:rFonts w:ascii="Garamond" w:hAnsi="Garamond"/>
          <w:sz w:val="26"/>
          <w:szCs w:val="26"/>
          <w:lang w:val="en-US"/>
        </w:rPr>
        <w:t>PIARCS’ fee is low considering the technology resources made available for customers.  These resources, which are constantly improving thanks to the annual licensing revenues, will allow to streamline implementation globally.</w:t>
      </w:r>
    </w:p>
    <w:p w:rsidR="009225D4" w:rsidRDefault="009225D4" w:rsidP="009225D4">
      <w:pPr>
        <w:pStyle w:val="ListParagraph"/>
        <w:numPr>
          <w:ilvl w:val="0"/>
          <w:numId w:val="11"/>
        </w:numPr>
        <w:spacing w:after="120"/>
        <w:rPr>
          <w:rFonts w:ascii="Garamond" w:hAnsi="Garamond"/>
          <w:sz w:val="26"/>
          <w:szCs w:val="26"/>
          <w:lang w:val="en-US"/>
        </w:rPr>
      </w:pPr>
      <w:r>
        <w:rPr>
          <w:rFonts w:ascii="Garamond" w:hAnsi="Garamond"/>
          <w:sz w:val="26"/>
          <w:szCs w:val="26"/>
          <w:lang w:val="en-US"/>
        </w:rPr>
        <w:t>PIARCS’ process integration focus will afford optimal process designs by highlighting the value of implementing complementary technologies (wind turbines, solar cells …).  The indirect benefits for PIARCS would lie in the stimulation of a creative and diverse Cleantech industry, and the public image that the PBC strives for optimal designs benefiting society.</w:t>
      </w:r>
    </w:p>
    <w:p w:rsidR="009225D4" w:rsidRDefault="009225D4" w:rsidP="009225D4">
      <w:pPr>
        <w:pStyle w:val="ListParagraph"/>
        <w:numPr>
          <w:ilvl w:val="0"/>
          <w:numId w:val="11"/>
        </w:numPr>
        <w:spacing w:after="120"/>
        <w:rPr>
          <w:rFonts w:ascii="Garamond" w:hAnsi="Garamond"/>
          <w:sz w:val="26"/>
          <w:szCs w:val="26"/>
          <w:lang w:val="en-US"/>
        </w:rPr>
      </w:pPr>
      <w:r w:rsidRPr="00281DD5">
        <w:rPr>
          <w:rFonts w:ascii="Garamond" w:hAnsi="Garamond"/>
          <w:sz w:val="26"/>
          <w:szCs w:val="26"/>
          <w:lang w:val="en-US"/>
        </w:rPr>
        <w:t xml:space="preserve">PIARCS’ Public Benefit purpose will allow to devote significant funds to broadly promote social acceptance.  Importantly, large-scale projects should involve discussion with impacted populations, and PIARCS will ensure that such process is respected by the developing industry.  In addition, PIARCS will sponsor </w:t>
      </w:r>
      <w:r>
        <w:rPr>
          <w:rFonts w:ascii="Garamond" w:hAnsi="Garamond"/>
          <w:sz w:val="26"/>
          <w:szCs w:val="26"/>
          <w:lang w:val="en-US"/>
        </w:rPr>
        <w:t>a wide array of projects in the areas of education, awareness, energy efficiency, conservation and</w:t>
      </w:r>
      <w:r w:rsidRPr="00281DD5">
        <w:rPr>
          <w:rFonts w:ascii="Garamond" w:hAnsi="Garamond"/>
          <w:sz w:val="26"/>
          <w:szCs w:val="26"/>
          <w:lang w:val="en-US"/>
        </w:rPr>
        <w:t xml:space="preserve"> environmental cl</w:t>
      </w:r>
      <w:r>
        <w:rPr>
          <w:rFonts w:ascii="Garamond" w:hAnsi="Garamond"/>
          <w:sz w:val="26"/>
          <w:szCs w:val="26"/>
          <w:lang w:val="en-US"/>
        </w:rPr>
        <w:t>eanup.</w:t>
      </w:r>
    </w:p>
    <w:p w:rsidR="009225D4" w:rsidRDefault="009225D4" w:rsidP="009225D4">
      <w:pPr>
        <w:pStyle w:val="ListParagraph"/>
        <w:numPr>
          <w:ilvl w:val="0"/>
          <w:numId w:val="11"/>
        </w:numPr>
        <w:spacing w:after="120"/>
        <w:rPr>
          <w:rFonts w:ascii="Garamond" w:hAnsi="Garamond"/>
          <w:sz w:val="26"/>
          <w:szCs w:val="26"/>
          <w:lang w:val="en-US"/>
        </w:rPr>
      </w:pPr>
      <w:r>
        <w:rPr>
          <w:rFonts w:ascii="Garamond" w:hAnsi="Garamond"/>
          <w:sz w:val="26"/>
          <w:szCs w:val="26"/>
          <w:lang w:val="en-US"/>
        </w:rPr>
        <w:t>A significant part of the licensing fees will be spent locally on such Public Benefit projects.</w:t>
      </w:r>
    </w:p>
    <w:p w:rsidR="009225D4" w:rsidRDefault="00E7159D" w:rsidP="009225D4">
      <w:pPr>
        <w:spacing w:after="120"/>
        <w:ind w:left="360"/>
        <w:jc w:val="center"/>
        <w:rPr>
          <w:rFonts w:ascii="Garamond" w:hAnsi="Garamond"/>
          <w:sz w:val="26"/>
          <w:szCs w:val="26"/>
          <w:lang w:val="en-US"/>
        </w:rPr>
      </w:pPr>
      <w:r>
        <w:rPr>
          <w:rFonts w:ascii="Garamond" w:hAnsi="Garamond"/>
          <w:noProof/>
          <w:sz w:val="26"/>
          <w:szCs w:val="26"/>
          <w:lang w:val="en-US"/>
        </w:rPr>
        <w:drawing>
          <wp:inline distT="0" distB="0" distL="0" distR="0" wp14:anchorId="54C6A73E">
            <wp:extent cx="4572000" cy="2880961"/>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2880961"/>
                    </a:xfrm>
                    <a:prstGeom prst="rect">
                      <a:avLst/>
                    </a:prstGeom>
                    <a:noFill/>
                  </pic:spPr>
                </pic:pic>
              </a:graphicData>
            </a:graphic>
          </wp:inline>
        </w:drawing>
      </w:r>
    </w:p>
    <w:p w:rsidR="009225D4" w:rsidRPr="009225D4" w:rsidRDefault="00B14191" w:rsidP="009225D4">
      <w:pPr>
        <w:spacing w:after="120"/>
        <w:ind w:left="900"/>
        <w:rPr>
          <w:rFonts w:ascii="Garamond" w:hAnsi="Garamond"/>
          <w:b/>
          <w:sz w:val="26"/>
          <w:szCs w:val="26"/>
          <w:lang w:val="en-US"/>
        </w:rPr>
      </w:pPr>
      <w:r>
        <w:rPr>
          <w:rFonts w:ascii="Garamond" w:hAnsi="Garamond"/>
          <w:b/>
          <w:sz w:val="26"/>
          <w:szCs w:val="26"/>
          <w:lang w:val="en-US"/>
        </w:rPr>
        <w:t xml:space="preserve">Figure </w:t>
      </w:r>
      <w:r w:rsidR="00DF0715">
        <w:rPr>
          <w:rFonts w:ascii="Garamond" w:hAnsi="Garamond"/>
          <w:b/>
          <w:sz w:val="26"/>
          <w:szCs w:val="26"/>
          <w:lang w:val="en-US"/>
        </w:rPr>
        <w:t>5</w:t>
      </w:r>
      <w:r>
        <w:rPr>
          <w:rFonts w:ascii="Garamond" w:hAnsi="Garamond"/>
          <w:b/>
          <w:sz w:val="26"/>
          <w:szCs w:val="26"/>
          <w:lang w:val="en-US"/>
        </w:rPr>
        <w:t xml:space="preserve">. </w:t>
      </w:r>
      <w:r w:rsidR="009225D4" w:rsidRPr="009225D4">
        <w:rPr>
          <w:rFonts w:ascii="Garamond" w:hAnsi="Garamond"/>
          <w:b/>
          <w:sz w:val="26"/>
          <w:szCs w:val="26"/>
          <w:lang w:val="en-US"/>
        </w:rPr>
        <w:t>PIARCS’ expansion strategy</w:t>
      </w:r>
    </w:p>
    <w:p w:rsidR="00E352E5" w:rsidRDefault="00E352E5" w:rsidP="009F4910">
      <w:pPr>
        <w:spacing w:after="120"/>
        <w:ind w:left="360"/>
        <w:rPr>
          <w:rFonts w:ascii="Garamond" w:hAnsi="Garamond"/>
          <w:sz w:val="26"/>
          <w:szCs w:val="26"/>
          <w:lang w:val="en-US"/>
        </w:rPr>
      </w:pPr>
    </w:p>
    <w:p w:rsidR="009F4910" w:rsidRDefault="009F4910" w:rsidP="009F4910">
      <w:pPr>
        <w:spacing w:after="120"/>
        <w:ind w:left="360"/>
        <w:rPr>
          <w:rFonts w:ascii="Garamond" w:hAnsi="Garamond"/>
          <w:sz w:val="26"/>
          <w:szCs w:val="26"/>
          <w:lang w:val="en-US"/>
        </w:rPr>
      </w:pPr>
      <w:r>
        <w:rPr>
          <w:rFonts w:ascii="Garamond" w:hAnsi="Garamond"/>
          <w:sz w:val="26"/>
          <w:szCs w:val="26"/>
          <w:lang w:val="en-US"/>
        </w:rPr>
        <w:t>PIARCS’ success is tied to the ex</w:t>
      </w:r>
      <w:r w:rsidR="009225D4">
        <w:rPr>
          <w:rFonts w:ascii="Garamond" w:hAnsi="Garamond"/>
          <w:sz w:val="26"/>
          <w:szCs w:val="26"/>
          <w:lang w:val="en-US"/>
        </w:rPr>
        <w:t>pansion strategy described above</w:t>
      </w:r>
      <w:r>
        <w:rPr>
          <w:rFonts w:ascii="Garamond" w:hAnsi="Garamond"/>
          <w:sz w:val="26"/>
          <w:szCs w:val="26"/>
          <w:lang w:val="en-US"/>
        </w:rPr>
        <w:t xml:space="preserve">, especially in the light of the recent failures encountered by the Wind industry in France.  Indeed, </w:t>
      </w:r>
      <w:r w:rsidR="009225D4">
        <w:rPr>
          <w:rFonts w:ascii="Garamond" w:hAnsi="Garamond"/>
          <w:sz w:val="26"/>
          <w:szCs w:val="26"/>
          <w:lang w:val="en-US"/>
        </w:rPr>
        <w:t>as a stark contrast,</w:t>
      </w:r>
      <w:r w:rsidR="009225D4" w:rsidRPr="009225D4">
        <w:rPr>
          <w:rFonts w:ascii="Garamond" w:hAnsi="Garamond"/>
          <w:sz w:val="26"/>
          <w:szCs w:val="26"/>
          <w:lang w:val="en-US"/>
        </w:rPr>
        <w:t xml:space="preserve"> </w:t>
      </w:r>
      <w:r>
        <w:rPr>
          <w:rFonts w:ascii="Garamond" w:hAnsi="Garamond"/>
          <w:sz w:val="26"/>
          <w:szCs w:val="26"/>
          <w:lang w:val="en-US"/>
        </w:rPr>
        <w:t>despite a fantastic technology, the Wind industry been meeting tremendous adverse social pressure and financial setbacks:</w:t>
      </w:r>
    </w:p>
    <w:p w:rsidR="009F4910" w:rsidRDefault="009F4910" w:rsidP="009F4910">
      <w:pPr>
        <w:pStyle w:val="ListParagraph"/>
        <w:numPr>
          <w:ilvl w:val="0"/>
          <w:numId w:val="11"/>
        </w:numPr>
        <w:spacing w:after="120"/>
        <w:rPr>
          <w:rFonts w:ascii="Garamond" w:hAnsi="Garamond"/>
          <w:sz w:val="26"/>
          <w:szCs w:val="26"/>
          <w:lang w:val="en-US"/>
        </w:rPr>
      </w:pPr>
      <w:r>
        <w:rPr>
          <w:rFonts w:ascii="Garamond" w:hAnsi="Garamond"/>
          <w:sz w:val="26"/>
          <w:szCs w:val="26"/>
          <w:lang w:val="en-US"/>
        </w:rPr>
        <w:t>The developers are disregarding aesthetic landscape and landmark considerations when deciding upon implantation sites.</w:t>
      </w:r>
    </w:p>
    <w:p w:rsidR="009F4910" w:rsidRDefault="009F4910" w:rsidP="009F4910">
      <w:pPr>
        <w:pStyle w:val="ListParagraph"/>
        <w:numPr>
          <w:ilvl w:val="0"/>
          <w:numId w:val="11"/>
        </w:numPr>
        <w:spacing w:after="120"/>
        <w:rPr>
          <w:rFonts w:ascii="Garamond" w:hAnsi="Garamond"/>
          <w:sz w:val="26"/>
          <w:szCs w:val="26"/>
          <w:lang w:val="en-US"/>
        </w:rPr>
      </w:pPr>
      <w:r>
        <w:rPr>
          <w:rFonts w:ascii="Garamond" w:hAnsi="Garamond"/>
          <w:sz w:val="26"/>
          <w:szCs w:val="26"/>
          <w:lang w:val="en-US"/>
        </w:rPr>
        <w:t>The developers are attempting to bypass public discussion forums by lobbying laws at the state level which reduce public recourses, and by signing contracts directly with land-owners and local government authorities.</w:t>
      </w:r>
    </w:p>
    <w:p w:rsidR="009F4910" w:rsidRDefault="009F4910" w:rsidP="009F4910">
      <w:pPr>
        <w:pStyle w:val="ListParagraph"/>
        <w:numPr>
          <w:ilvl w:val="0"/>
          <w:numId w:val="11"/>
        </w:numPr>
        <w:spacing w:after="120"/>
        <w:rPr>
          <w:rFonts w:ascii="Garamond" w:hAnsi="Garamond"/>
          <w:sz w:val="26"/>
          <w:szCs w:val="26"/>
          <w:lang w:val="en-US"/>
        </w:rPr>
      </w:pPr>
      <w:r>
        <w:rPr>
          <w:rFonts w:ascii="Garamond" w:hAnsi="Garamond"/>
          <w:sz w:val="26"/>
          <w:szCs w:val="26"/>
          <w:lang w:val="en-US"/>
        </w:rPr>
        <w:t>Certain developers have chosen poor quality wind turbines which have short lifetimes and are left to degrade on-site, witch associated risk for the neighboring communities.</w:t>
      </w:r>
    </w:p>
    <w:p w:rsidR="009F4910" w:rsidRDefault="009F4910" w:rsidP="009F4910">
      <w:pPr>
        <w:pStyle w:val="ListParagraph"/>
        <w:numPr>
          <w:ilvl w:val="0"/>
          <w:numId w:val="11"/>
        </w:numPr>
        <w:spacing w:after="120"/>
        <w:rPr>
          <w:rFonts w:ascii="Garamond" w:hAnsi="Garamond"/>
          <w:sz w:val="26"/>
          <w:szCs w:val="26"/>
          <w:lang w:val="en-US"/>
        </w:rPr>
      </w:pPr>
      <w:r>
        <w:rPr>
          <w:rFonts w:ascii="Garamond" w:hAnsi="Garamond"/>
          <w:sz w:val="26"/>
          <w:szCs w:val="26"/>
          <w:lang w:val="en-US"/>
        </w:rPr>
        <w:t>Dismantling of the turbines is mandated after 20 years, and is the responsibility of the developers if the company still exists.  If not, the financial responsibility is shifted to the leasing land-own</w:t>
      </w:r>
      <w:r w:rsidR="00DD0D88">
        <w:rPr>
          <w:rFonts w:ascii="Garamond" w:hAnsi="Garamond"/>
          <w:sz w:val="26"/>
          <w:szCs w:val="26"/>
          <w:lang w:val="en-US"/>
        </w:rPr>
        <w:t>er, and if the latter unable</w:t>
      </w:r>
      <w:r>
        <w:rPr>
          <w:rFonts w:ascii="Garamond" w:hAnsi="Garamond"/>
          <w:sz w:val="26"/>
          <w:szCs w:val="26"/>
          <w:lang w:val="en-US"/>
        </w:rPr>
        <w:t>, to the neighboring communities.</w:t>
      </w:r>
    </w:p>
    <w:p w:rsidR="009F4910" w:rsidRDefault="009F4910" w:rsidP="009F4910">
      <w:pPr>
        <w:pStyle w:val="ListParagraph"/>
        <w:numPr>
          <w:ilvl w:val="0"/>
          <w:numId w:val="11"/>
        </w:numPr>
        <w:spacing w:after="120"/>
        <w:rPr>
          <w:rFonts w:ascii="Garamond" w:hAnsi="Garamond"/>
          <w:sz w:val="26"/>
          <w:szCs w:val="26"/>
          <w:lang w:val="en-US"/>
        </w:rPr>
      </w:pPr>
      <w:r>
        <w:rPr>
          <w:rFonts w:ascii="Garamond" w:hAnsi="Garamond"/>
          <w:sz w:val="26"/>
          <w:szCs w:val="26"/>
          <w:lang w:val="en-US"/>
        </w:rPr>
        <w:t>The neighboring communities do not get compensated for the visual/sound impairment resulting from the implantation of 20-50 150m-high turbines (500ft) in a 20 km radius, which typically incurs a 30% drop in property value.</w:t>
      </w:r>
    </w:p>
    <w:p w:rsidR="009F4910" w:rsidRDefault="009F4910" w:rsidP="009F4910">
      <w:pPr>
        <w:pStyle w:val="ListParagraph"/>
        <w:numPr>
          <w:ilvl w:val="0"/>
          <w:numId w:val="11"/>
        </w:numPr>
        <w:spacing w:after="120"/>
        <w:rPr>
          <w:rFonts w:ascii="Garamond" w:hAnsi="Garamond"/>
          <w:sz w:val="26"/>
          <w:szCs w:val="26"/>
          <w:lang w:val="en-US"/>
        </w:rPr>
      </w:pPr>
      <w:r>
        <w:rPr>
          <w:rFonts w:ascii="Garamond" w:hAnsi="Garamond"/>
          <w:sz w:val="26"/>
          <w:szCs w:val="26"/>
          <w:lang w:val="en-US"/>
        </w:rPr>
        <w:t>As a result of this process, Wind development in France has been met with tremendous resistance from the local populations, which has incurred significant cost for the Wind industry in the form of legal expenditures, construction setbacks or premature dismantling.</w:t>
      </w:r>
    </w:p>
    <w:p w:rsidR="009F4910" w:rsidRDefault="009F4910" w:rsidP="009F4910">
      <w:pPr>
        <w:pStyle w:val="ListParagraph"/>
        <w:numPr>
          <w:ilvl w:val="0"/>
          <w:numId w:val="11"/>
        </w:numPr>
        <w:spacing w:after="120"/>
        <w:rPr>
          <w:rFonts w:ascii="Garamond" w:hAnsi="Garamond"/>
          <w:sz w:val="26"/>
          <w:szCs w:val="26"/>
          <w:lang w:val="en-US"/>
        </w:rPr>
      </w:pPr>
      <w:r>
        <w:rPr>
          <w:rFonts w:ascii="Garamond" w:hAnsi="Garamond"/>
          <w:sz w:val="26"/>
          <w:szCs w:val="26"/>
          <w:lang w:val="en-US"/>
        </w:rPr>
        <w:t>At the state level, the promotion of Wind power currently disregards the engineering constraints of grid matching of an intermittent power source to a slow-response power such as nuclear power (&gt;80% of French electricity).  This results in the necessity to build matching gas turbines, thereby creating an unseen capital cost associated with Wind development.</w:t>
      </w:r>
    </w:p>
    <w:p w:rsidR="009F4910" w:rsidRDefault="009F4910" w:rsidP="009F4910">
      <w:pPr>
        <w:pStyle w:val="ListParagraph"/>
        <w:spacing w:after="120"/>
        <w:ind w:left="360"/>
        <w:rPr>
          <w:rFonts w:ascii="Garamond" w:hAnsi="Garamond"/>
          <w:sz w:val="26"/>
          <w:szCs w:val="26"/>
          <w:lang w:val="en-US"/>
        </w:rPr>
      </w:pPr>
      <w:r>
        <w:rPr>
          <w:rFonts w:ascii="Garamond" w:hAnsi="Garamond"/>
          <w:sz w:val="26"/>
          <w:szCs w:val="26"/>
          <w:lang w:val="en-US"/>
        </w:rPr>
        <w:t>Wind power, nevertheless, holds promise to provide long-term sustainable energy if appropriate measures are taken.  For example:</w:t>
      </w:r>
    </w:p>
    <w:p w:rsidR="009F4910" w:rsidRDefault="009F4910" w:rsidP="009F4910">
      <w:pPr>
        <w:pStyle w:val="ListParagraph"/>
        <w:numPr>
          <w:ilvl w:val="0"/>
          <w:numId w:val="11"/>
        </w:numPr>
        <w:spacing w:after="120"/>
        <w:rPr>
          <w:rFonts w:ascii="Garamond" w:hAnsi="Garamond"/>
          <w:sz w:val="26"/>
          <w:szCs w:val="26"/>
          <w:lang w:val="en-US"/>
        </w:rPr>
      </w:pPr>
      <w:r>
        <w:rPr>
          <w:rFonts w:ascii="Garamond" w:hAnsi="Garamond"/>
          <w:sz w:val="26"/>
          <w:szCs w:val="26"/>
          <w:lang w:val="en-US"/>
        </w:rPr>
        <w:t>Include the neighboring communities to decide collectively on the implantation sites</w:t>
      </w:r>
      <w:r w:rsidR="0026071E">
        <w:rPr>
          <w:rFonts w:ascii="Garamond" w:hAnsi="Garamond"/>
          <w:sz w:val="26"/>
          <w:szCs w:val="26"/>
          <w:lang w:val="en-US"/>
        </w:rPr>
        <w:t>, size and</w:t>
      </w:r>
      <w:r>
        <w:rPr>
          <w:rFonts w:ascii="Garamond" w:hAnsi="Garamond"/>
          <w:sz w:val="26"/>
          <w:szCs w:val="26"/>
          <w:lang w:val="en-US"/>
        </w:rPr>
        <w:t xml:space="preserve"> height.</w:t>
      </w:r>
    </w:p>
    <w:p w:rsidR="009F4910" w:rsidRDefault="009F4910" w:rsidP="009F4910">
      <w:pPr>
        <w:pStyle w:val="ListParagraph"/>
        <w:numPr>
          <w:ilvl w:val="0"/>
          <w:numId w:val="11"/>
        </w:numPr>
        <w:spacing w:after="120"/>
        <w:rPr>
          <w:rFonts w:ascii="Garamond" w:hAnsi="Garamond"/>
          <w:sz w:val="26"/>
          <w:szCs w:val="26"/>
          <w:lang w:val="en-US"/>
        </w:rPr>
      </w:pPr>
      <w:r>
        <w:rPr>
          <w:rFonts w:ascii="Garamond" w:hAnsi="Garamond"/>
          <w:sz w:val="26"/>
          <w:szCs w:val="26"/>
          <w:lang w:val="en-US"/>
        </w:rPr>
        <w:t>Incentivize impacted communities with preferential electricity rates, funds to improve home insulation, and/or a basal income.</w:t>
      </w:r>
    </w:p>
    <w:p w:rsidR="009F4910" w:rsidRDefault="009F4910" w:rsidP="009F4910">
      <w:pPr>
        <w:pStyle w:val="ListParagraph"/>
        <w:numPr>
          <w:ilvl w:val="0"/>
          <w:numId w:val="11"/>
        </w:numPr>
        <w:spacing w:after="120"/>
        <w:rPr>
          <w:rFonts w:ascii="Garamond" w:hAnsi="Garamond"/>
          <w:sz w:val="26"/>
          <w:szCs w:val="26"/>
          <w:lang w:val="en-US"/>
        </w:rPr>
      </w:pPr>
      <w:r>
        <w:rPr>
          <w:rFonts w:ascii="Garamond" w:hAnsi="Garamond"/>
          <w:sz w:val="26"/>
          <w:szCs w:val="26"/>
          <w:lang w:val="en-US"/>
        </w:rPr>
        <w:t>Incentivize the broader community by offering a preferential electricity rate to reward scheduling flexibility – which allows to match intermittent wind power to a flexible demand and to bypass the requirement for associated gas turbines.</w:t>
      </w:r>
    </w:p>
    <w:p w:rsidR="009F4910" w:rsidRDefault="009F4910" w:rsidP="009F4910">
      <w:pPr>
        <w:pStyle w:val="ListParagraph"/>
        <w:numPr>
          <w:ilvl w:val="0"/>
          <w:numId w:val="11"/>
        </w:numPr>
        <w:spacing w:after="120"/>
        <w:rPr>
          <w:rFonts w:ascii="Garamond" w:hAnsi="Garamond"/>
          <w:sz w:val="26"/>
          <w:szCs w:val="26"/>
          <w:lang w:val="en-US"/>
        </w:rPr>
      </w:pPr>
      <w:r>
        <w:rPr>
          <w:rFonts w:ascii="Garamond" w:hAnsi="Garamond"/>
          <w:sz w:val="26"/>
          <w:szCs w:val="26"/>
          <w:lang w:val="en-US"/>
        </w:rPr>
        <w:t>Ensure long-term maintenance of the Wind infrastructures by developers much beyond 20 years.</w:t>
      </w:r>
    </w:p>
    <w:p w:rsidR="00043E3E" w:rsidRDefault="00043E3E" w:rsidP="00043E3E">
      <w:pPr>
        <w:pStyle w:val="ListParagraph"/>
        <w:spacing w:after="120"/>
        <w:ind w:left="1440"/>
        <w:rPr>
          <w:rFonts w:ascii="Garamond" w:hAnsi="Garamond"/>
          <w:sz w:val="26"/>
          <w:szCs w:val="26"/>
          <w:lang w:val="en-US"/>
        </w:rPr>
      </w:pPr>
    </w:p>
    <w:p w:rsidR="00043E3E" w:rsidRPr="00043E3E" w:rsidRDefault="0050047D" w:rsidP="00043E3E">
      <w:pPr>
        <w:keepNext/>
        <w:keepLines/>
        <w:spacing w:before="40" w:after="0"/>
        <w:outlineLvl w:val="1"/>
        <w:rPr>
          <w:rFonts w:asciiTheme="majorHAnsi" w:eastAsiaTheme="majorEastAsia" w:hAnsiTheme="majorHAnsi" w:cstheme="majorBidi"/>
          <w:b/>
          <w:color w:val="149346"/>
          <w:sz w:val="26"/>
          <w:szCs w:val="26"/>
          <w:lang w:val="en-US"/>
        </w:rPr>
      </w:pPr>
      <w:bookmarkStart w:id="13" w:name="_Toc403474328"/>
      <w:r>
        <w:rPr>
          <w:rFonts w:asciiTheme="majorHAnsi" w:eastAsiaTheme="majorEastAsia" w:hAnsiTheme="majorHAnsi" w:cstheme="majorBidi"/>
          <w:b/>
          <w:color w:val="149346"/>
          <w:sz w:val="26"/>
          <w:szCs w:val="26"/>
          <w:lang w:val="en-US"/>
        </w:rPr>
        <w:t>F</w:t>
      </w:r>
      <w:r w:rsidR="00043E3E" w:rsidRPr="00043E3E">
        <w:rPr>
          <w:rFonts w:asciiTheme="majorHAnsi" w:eastAsiaTheme="majorEastAsia" w:hAnsiTheme="majorHAnsi" w:cstheme="majorBidi"/>
          <w:b/>
          <w:color w:val="149346"/>
          <w:sz w:val="26"/>
          <w:szCs w:val="26"/>
          <w:lang w:val="en-US"/>
        </w:rPr>
        <w:t xml:space="preserve"> – Timeline of deliverables and early income projections</w:t>
      </w:r>
      <w:bookmarkEnd w:id="13"/>
    </w:p>
    <w:p w:rsidR="00043E3E" w:rsidRPr="00043E3E" w:rsidRDefault="00043E3E" w:rsidP="00043E3E">
      <w:pPr>
        <w:ind w:left="360"/>
        <w:contextualSpacing/>
        <w:rPr>
          <w:rFonts w:ascii="Garamond" w:hAnsi="Garamond"/>
          <w:sz w:val="26"/>
          <w:szCs w:val="26"/>
          <w:lang w:val="en-US"/>
        </w:rPr>
      </w:pPr>
    </w:p>
    <w:p w:rsidR="00043E3E" w:rsidRPr="00043E3E" w:rsidRDefault="00043E3E" w:rsidP="00043E3E">
      <w:pPr>
        <w:spacing w:after="0"/>
        <w:ind w:left="360"/>
        <w:contextualSpacing/>
        <w:rPr>
          <w:rFonts w:ascii="Garamond" w:hAnsi="Garamond"/>
          <w:sz w:val="24"/>
          <w:szCs w:val="24"/>
          <w:lang w:val="en-US"/>
        </w:rPr>
      </w:pPr>
      <w:r w:rsidRPr="00043E3E">
        <w:rPr>
          <w:rFonts w:ascii="Garamond" w:hAnsi="Garamond"/>
          <w:sz w:val="24"/>
          <w:szCs w:val="24"/>
          <w:lang w:val="en-US"/>
        </w:rPr>
        <w:t xml:space="preserve">Once the critical R&amp;D milestones have been reached in Year 1, PIARCS aims to partner with infrastructure providers and early adopters to reach full scale production by Year </w:t>
      </w:r>
      <w:r w:rsidR="00713377">
        <w:rPr>
          <w:rFonts w:ascii="Garamond" w:hAnsi="Garamond"/>
          <w:sz w:val="24"/>
          <w:szCs w:val="24"/>
          <w:lang w:val="en-US"/>
        </w:rPr>
        <w:t>4</w:t>
      </w:r>
      <w:r w:rsidRPr="00043E3E">
        <w:rPr>
          <w:rFonts w:ascii="Garamond" w:hAnsi="Garamond"/>
          <w:sz w:val="24"/>
          <w:szCs w:val="24"/>
          <w:lang w:val="en-US"/>
        </w:rPr>
        <w:t xml:space="preserve"> for Phosphorous removal, and by Year </w:t>
      </w:r>
      <w:r w:rsidR="00713377">
        <w:rPr>
          <w:rFonts w:ascii="Garamond" w:hAnsi="Garamond"/>
          <w:sz w:val="24"/>
          <w:szCs w:val="24"/>
          <w:lang w:val="en-US"/>
        </w:rPr>
        <w:t>5</w:t>
      </w:r>
      <w:r w:rsidRPr="00043E3E">
        <w:rPr>
          <w:rFonts w:ascii="Garamond" w:hAnsi="Garamond"/>
          <w:sz w:val="24"/>
          <w:szCs w:val="24"/>
          <w:lang w:val="en-US"/>
        </w:rPr>
        <w:t xml:space="preserve"> for Algal Biofuel production.</w:t>
      </w:r>
    </w:p>
    <w:p w:rsidR="00043E3E" w:rsidRPr="00043E3E" w:rsidRDefault="00043E3E" w:rsidP="00043E3E">
      <w:pPr>
        <w:spacing w:after="0"/>
        <w:rPr>
          <w:rFonts w:ascii="Garamond" w:hAnsi="Garamond"/>
          <w:sz w:val="24"/>
          <w:szCs w:val="24"/>
          <w:lang w:val="en-US"/>
        </w:rPr>
      </w:pPr>
    </w:p>
    <w:p w:rsidR="00043E3E" w:rsidRPr="00043E3E" w:rsidRDefault="00E41E95" w:rsidP="00043E3E">
      <w:pPr>
        <w:ind w:left="360"/>
        <w:contextualSpacing/>
        <w:jc w:val="center"/>
        <w:rPr>
          <w:rFonts w:ascii="Garamond" w:hAnsi="Garamond"/>
          <w:sz w:val="26"/>
          <w:szCs w:val="26"/>
          <w:lang w:val="en-US"/>
        </w:rPr>
      </w:pPr>
      <w:r>
        <w:rPr>
          <w:rFonts w:ascii="Garamond" w:hAnsi="Garamond"/>
          <w:noProof/>
          <w:sz w:val="26"/>
          <w:szCs w:val="26"/>
          <w:lang w:val="en-US"/>
        </w:rPr>
        <w:drawing>
          <wp:inline distT="0" distB="0" distL="0" distR="0" wp14:anchorId="7D378629">
            <wp:extent cx="5669280" cy="2089323"/>
            <wp:effectExtent l="0" t="0" r="7620" b="6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69280" cy="2089323"/>
                    </a:xfrm>
                    <a:prstGeom prst="rect">
                      <a:avLst/>
                    </a:prstGeom>
                    <a:noFill/>
                  </pic:spPr>
                </pic:pic>
              </a:graphicData>
            </a:graphic>
          </wp:inline>
        </w:drawing>
      </w:r>
    </w:p>
    <w:p w:rsidR="00043E3E" w:rsidRPr="00043E3E" w:rsidRDefault="00043E3E" w:rsidP="00043E3E">
      <w:pPr>
        <w:ind w:left="360"/>
        <w:contextualSpacing/>
        <w:rPr>
          <w:rFonts w:ascii="Garamond" w:hAnsi="Garamond"/>
          <w:sz w:val="26"/>
          <w:szCs w:val="26"/>
          <w:lang w:val="en-US"/>
        </w:rPr>
      </w:pPr>
      <w:r w:rsidRPr="00043E3E">
        <w:rPr>
          <w:rFonts w:ascii="Garamond" w:hAnsi="Garamond"/>
          <w:b/>
          <w:sz w:val="26"/>
          <w:szCs w:val="26"/>
          <w:lang w:val="en-US"/>
        </w:rPr>
        <w:t>F</w:t>
      </w:r>
      <w:r w:rsidR="0050047D">
        <w:rPr>
          <w:rFonts w:ascii="Garamond" w:hAnsi="Garamond"/>
          <w:b/>
          <w:sz w:val="26"/>
          <w:szCs w:val="26"/>
          <w:lang w:val="en-US"/>
        </w:rPr>
        <w:t xml:space="preserve">igure </w:t>
      </w:r>
      <w:r w:rsidR="00DF0715">
        <w:rPr>
          <w:rFonts w:ascii="Garamond" w:hAnsi="Garamond"/>
          <w:b/>
          <w:sz w:val="26"/>
          <w:szCs w:val="26"/>
          <w:lang w:val="en-US"/>
        </w:rPr>
        <w:t>6</w:t>
      </w:r>
      <w:r w:rsidRPr="00043E3E">
        <w:rPr>
          <w:rFonts w:ascii="Garamond" w:hAnsi="Garamond"/>
          <w:sz w:val="26"/>
          <w:szCs w:val="26"/>
          <w:lang w:val="en-US"/>
        </w:rPr>
        <w:t>. Timeline of deliverables</w:t>
      </w:r>
    </w:p>
    <w:p w:rsidR="00043E3E" w:rsidRPr="00043E3E" w:rsidRDefault="00043E3E" w:rsidP="00043E3E">
      <w:pPr>
        <w:ind w:left="360"/>
        <w:contextualSpacing/>
        <w:rPr>
          <w:rFonts w:ascii="Garamond" w:hAnsi="Garamond"/>
          <w:sz w:val="26"/>
          <w:szCs w:val="26"/>
          <w:lang w:val="en-US"/>
        </w:rPr>
      </w:pPr>
    </w:p>
    <w:p w:rsidR="00043E3E" w:rsidRPr="00043E3E" w:rsidRDefault="00043E3E" w:rsidP="00043E3E">
      <w:pPr>
        <w:spacing w:after="0"/>
        <w:ind w:left="360"/>
        <w:contextualSpacing/>
        <w:rPr>
          <w:rFonts w:ascii="Garamond" w:hAnsi="Garamond"/>
          <w:sz w:val="24"/>
          <w:szCs w:val="24"/>
          <w:lang w:val="en-US"/>
        </w:rPr>
      </w:pPr>
    </w:p>
    <w:p w:rsidR="00043E3E" w:rsidRPr="00043E3E" w:rsidRDefault="00043E3E" w:rsidP="00043E3E">
      <w:pPr>
        <w:spacing w:after="0"/>
        <w:ind w:left="360"/>
        <w:contextualSpacing/>
        <w:rPr>
          <w:rFonts w:ascii="Garamond" w:hAnsi="Garamond"/>
          <w:sz w:val="24"/>
          <w:szCs w:val="24"/>
          <w:lang w:val="en-US"/>
        </w:rPr>
      </w:pPr>
      <w:r w:rsidRPr="00043E3E">
        <w:rPr>
          <w:rFonts w:ascii="Garamond" w:hAnsi="Garamond"/>
          <w:sz w:val="24"/>
          <w:szCs w:val="24"/>
          <w:lang w:val="en-US"/>
        </w:rPr>
        <w:t>Based on algal lipid production, a Southern US algal lipid pond coverage of 13,200 acres by the end of Year 5 would allow licensing revenues of $2M per year.  This would produce about 40 million gallons biodiesel per year, satisfying 0.018% of the US market, or 0.012 % of the US &amp; Europe transportation fuel consumption</w:t>
      </w:r>
      <w:r w:rsidR="0050047D">
        <w:rPr>
          <w:rFonts w:ascii="Garamond" w:hAnsi="Garamond"/>
          <w:sz w:val="24"/>
          <w:szCs w:val="24"/>
          <w:lang w:val="en-US"/>
        </w:rPr>
        <w:t xml:space="preserve"> </w:t>
      </w:r>
      <w:r w:rsidR="0050047D" w:rsidRPr="0050047D">
        <w:rPr>
          <w:rFonts w:ascii="Garamond" w:hAnsi="Garamond"/>
          <w:sz w:val="24"/>
          <w:szCs w:val="24"/>
          <w:lang w:val="en-US"/>
        </w:rPr>
        <w:t xml:space="preserve">(see </w:t>
      </w:r>
      <w:r w:rsidR="0050047D" w:rsidRPr="0050047D">
        <w:rPr>
          <w:rFonts w:ascii="Garamond" w:hAnsi="Garamond"/>
          <w:b/>
          <w:sz w:val="24"/>
          <w:szCs w:val="24"/>
          <w:lang w:val="en-US"/>
        </w:rPr>
        <w:t xml:space="preserve">Fig. </w:t>
      </w:r>
      <w:r w:rsidR="00DF0715">
        <w:rPr>
          <w:rFonts w:ascii="Garamond" w:hAnsi="Garamond"/>
          <w:b/>
          <w:sz w:val="24"/>
          <w:szCs w:val="24"/>
          <w:lang w:val="en-US"/>
        </w:rPr>
        <w:t>5</w:t>
      </w:r>
      <w:r w:rsidR="0050047D" w:rsidRPr="0050047D">
        <w:rPr>
          <w:rFonts w:ascii="Garamond" w:hAnsi="Garamond"/>
          <w:sz w:val="24"/>
          <w:szCs w:val="24"/>
          <w:lang w:val="en-US"/>
        </w:rPr>
        <w:t xml:space="preserve"> for market sizes).</w:t>
      </w:r>
    </w:p>
    <w:p w:rsidR="00043E3E" w:rsidRPr="00043E3E" w:rsidRDefault="00043E3E" w:rsidP="00043E3E">
      <w:pPr>
        <w:spacing w:after="0"/>
        <w:ind w:left="360"/>
        <w:contextualSpacing/>
        <w:rPr>
          <w:rFonts w:ascii="Garamond" w:hAnsi="Garamond"/>
          <w:sz w:val="24"/>
          <w:szCs w:val="24"/>
          <w:lang w:val="en-US"/>
        </w:rPr>
      </w:pPr>
      <w:r w:rsidRPr="00043E3E">
        <w:rPr>
          <w:rFonts w:ascii="Garamond" w:hAnsi="Garamond"/>
          <w:sz w:val="24"/>
          <w:szCs w:val="24"/>
          <w:lang w:val="en-US"/>
        </w:rPr>
        <w:t xml:space="preserve"> </w:t>
      </w:r>
    </w:p>
    <w:p w:rsidR="00043E3E" w:rsidRPr="00043E3E" w:rsidRDefault="00043E3E" w:rsidP="00043E3E">
      <w:pPr>
        <w:spacing w:before="120" w:after="120"/>
        <w:ind w:left="360"/>
        <w:rPr>
          <w:rFonts w:ascii="Garamond" w:hAnsi="Garamond"/>
          <w:sz w:val="24"/>
          <w:szCs w:val="24"/>
          <w:lang w:val="en-US"/>
        </w:rPr>
      </w:pPr>
      <w:r w:rsidRPr="00043E3E">
        <w:rPr>
          <w:rFonts w:ascii="Garamond" w:hAnsi="Garamond"/>
          <w:sz w:val="24"/>
          <w:szCs w:val="24"/>
          <w:lang w:val="en-US"/>
        </w:rPr>
        <w:t>P removal using PIARCS’ license will be charged $ 37,500/MGD per year to wastewater treatment plants.  MGD (million gallons per day) describe the plant treatment capacity.  This fee is lower than the operating expenses associated with other P removal treatment methods (Ostara struvite production and CoMag).</w:t>
      </w:r>
    </w:p>
    <w:p w:rsidR="00043E3E" w:rsidRPr="00043E3E" w:rsidRDefault="00043E3E" w:rsidP="00043E3E">
      <w:pPr>
        <w:spacing w:after="120"/>
        <w:ind w:left="360"/>
        <w:rPr>
          <w:rFonts w:ascii="Garamond" w:hAnsi="Garamond"/>
          <w:sz w:val="24"/>
          <w:szCs w:val="24"/>
          <w:lang w:val="en-US"/>
        </w:rPr>
      </w:pPr>
      <w:r w:rsidRPr="00043E3E">
        <w:rPr>
          <w:rFonts w:ascii="Garamond" w:hAnsi="Garamond"/>
          <w:sz w:val="24"/>
          <w:szCs w:val="24"/>
          <w:lang w:val="en-US"/>
        </w:rPr>
        <w:t>The total US capacity is 26,150 MGD (2008), and would generate a PIARCS revenue of $ 1 billion per year.  The Boulder, CO wastewater treatment plant capacity of 12.5 MGD would generate $ 470,000 per year, and the South Renton, WA facility of 133 MGD would generate $ 5.0 million per year.  The Renton facility alone represents 0.5% of the US market, or 0.15% of the US &amp; Europe markets</w:t>
      </w:r>
      <w:r w:rsidR="0050047D">
        <w:rPr>
          <w:rFonts w:ascii="Garamond" w:hAnsi="Garamond"/>
          <w:sz w:val="24"/>
          <w:szCs w:val="24"/>
          <w:lang w:val="en-US"/>
        </w:rPr>
        <w:t xml:space="preserve"> (see </w:t>
      </w:r>
      <w:r w:rsidR="0050047D" w:rsidRPr="0050047D">
        <w:rPr>
          <w:rFonts w:ascii="Garamond" w:hAnsi="Garamond"/>
          <w:b/>
          <w:sz w:val="24"/>
          <w:szCs w:val="24"/>
          <w:lang w:val="en-US"/>
        </w:rPr>
        <w:t xml:space="preserve">Fig. </w:t>
      </w:r>
      <w:r w:rsidR="00DF0715">
        <w:rPr>
          <w:rFonts w:ascii="Garamond" w:hAnsi="Garamond"/>
          <w:b/>
          <w:sz w:val="24"/>
          <w:szCs w:val="24"/>
          <w:lang w:val="en-US"/>
        </w:rPr>
        <w:t>5</w:t>
      </w:r>
      <w:r w:rsidR="0050047D">
        <w:rPr>
          <w:rFonts w:ascii="Garamond" w:hAnsi="Garamond"/>
          <w:sz w:val="24"/>
          <w:szCs w:val="24"/>
          <w:lang w:val="en-US"/>
        </w:rPr>
        <w:t xml:space="preserve"> for market sizes)</w:t>
      </w:r>
      <w:r w:rsidRPr="00043E3E">
        <w:rPr>
          <w:rFonts w:ascii="Garamond" w:hAnsi="Garamond"/>
          <w:sz w:val="24"/>
          <w:szCs w:val="24"/>
          <w:lang w:val="en-US"/>
        </w:rPr>
        <w:t>.</w:t>
      </w:r>
    </w:p>
    <w:p w:rsidR="00043E3E" w:rsidRDefault="00043E3E" w:rsidP="00043E3E">
      <w:pPr>
        <w:pStyle w:val="ListParagraph"/>
        <w:spacing w:after="120"/>
        <w:ind w:left="1440"/>
        <w:rPr>
          <w:rFonts w:ascii="Garamond" w:hAnsi="Garamond"/>
          <w:sz w:val="26"/>
          <w:szCs w:val="26"/>
          <w:lang w:val="en-US"/>
        </w:rPr>
      </w:pPr>
    </w:p>
    <w:p w:rsidR="00CB0B6A" w:rsidRDefault="00CB0B6A" w:rsidP="00043E3E">
      <w:pPr>
        <w:pStyle w:val="ListParagraph"/>
        <w:spacing w:after="120"/>
        <w:ind w:left="1440"/>
        <w:rPr>
          <w:rFonts w:ascii="Garamond" w:hAnsi="Garamond"/>
          <w:sz w:val="26"/>
          <w:szCs w:val="26"/>
          <w:lang w:val="en-US"/>
        </w:rPr>
      </w:pPr>
    </w:p>
    <w:p w:rsidR="00CB0B6A" w:rsidRDefault="00CB0B6A" w:rsidP="00043E3E">
      <w:pPr>
        <w:pStyle w:val="ListParagraph"/>
        <w:spacing w:after="120"/>
        <w:ind w:left="1440"/>
        <w:rPr>
          <w:rFonts w:ascii="Garamond" w:hAnsi="Garamond"/>
          <w:sz w:val="26"/>
          <w:szCs w:val="26"/>
          <w:lang w:val="en-US"/>
        </w:rPr>
      </w:pPr>
    </w:p>
    <w:p w:rsidR="00CB0B6A" w:rsidRDefault="00CB0B6A" w:rsidP="00043E3E">
      <w:pPr>
        <w:pStyle w:val="ListParagraph"/>
        <w:spacing w:after="120"/>
        <w:ind w:left="1440"/>
        <w:rPr>
          <w:rFonts w:ascii="Garamond" w:hAnsi="Garamond"/>
          <w:sz w:val="26"/>
          <w:szCs w:val="26"/>
          <w:lang w:val="en-US"/>
        </w:rPr>
      </w:pPr>
    </w:p>
    <w:p w:rsidR="007442B7" w:rsidRDefault="007442B7" w:rsidP="00E6602F">
      <w:pPr>
        <w:spacing w:after="0"/>
        <w:ind w:left="360"/>
        <w:rPr>
          <w:rFonts w:ascii="Garamond" w:hAnsi="Garamond"/>
          <w:sz w:val="26"/>
          <w:szCs w:val="26"/>
          <w:lang w:val="en-US"/>
        </w:rPr>
      </w:pPr>
    </w:p>
    <w:p w:rsidR="00E6602F" w:rsidRPr="00C972BA" w:rsidRDefault="00B14191" w:rsidP="00E6602F">
      <w:pPr>
        <w:pStyle w:val="Heading2"/>
        <w:rPr>
          <w:b/>
          <w:color w:val="149346"/>
          <w:lang w:val="en-US"/>
        </w:rPr>
      </w:pPr>
      <w:bookmarkStart w:id="14" w:name="_Toc403474329"/>
      <w:r>
        <w:rPr>
          <w:b/>
          <w:color w:val="149346"/>
          <w:lang w:val="en-US"/>
        </w:rPr>
        <w:t>G</w:t>
      </w:r>
      <w:r w:rsidR="00E6602F" w:rsidRPr="00034C1B">
        <w:rPr>
          <w:b/>
          <w:color w:val="149346"/>
          <w:lang w:val="en-US"/>
        </w:rPr>
        <w:t xml:space="preserve"> </w:t>
      </w:r>
      <w:r w:rsidR="00E6602F">
        <w:rPr>
          <w:b/>
          <w:color w:val="149346"/>
          <w:lang w:val="en-US"/>
        </w:rPr>
        <w:t>–</w:t>
      </w:r>
      <w:r w:rsidR="00E6602F" w:rsidRPr="00034C1B">
        <w:rPr>
          <w:b/>
          <w:color w:val="149346"/>
          <w:lang w:val="en-US"/>
        </w:rPr>
        <w:t xml:space="preserve"> </w:t>
      </w:r>
      <w:r w:rsidR="00E6602F">
        <w:rPr>
          <w:b/>
          <w:color w:val="149346"/>
          <w:lang w:val="en-US"/>
        </w:rPr>
        <w:t>PIARC</w:t>
      </w:r>
      <w:r w:rsidR="006508EB">
        <w:rPr>
          <w:b/>
          <w:color w:val="149346"/>
          <w:lang w:val="en-US"/>
        </w:rPr>
        <w:t>S as a robust</w:t>
      </w:r>
      <w:r w:rsidR="00E6602F">
        <w:rPr>
          <w:b/>
          <w:color w:val="149346"/>
          <w:lang w:val="en-US"/>
        </w:rPr>
        <w:t xml:space="preserve"> investment</w:t>
      </w:r>
      <w:bookmarkEnd w:id="14"/>
      <w:r w:rsidR="00E6602F" w:rsidRPr="00C972BA">
        <w:rPr>
          <w:b/>
          <w:color w:val="149346"/>
          <w:lang w:val="en-US"/>
        </w:rPr>
        <w:t xml:space="preserve"> </w:t>
      </w:r>
    </w:p>
    <w:p w:rsidR="00E6602F" w:rsidRDefault="00E6602F" w:rsidP="00E6602F">
      <w:pPr>
        <w:spacing w:after="0"/>
        <w:rPr>
          <w:rFonts w:ascii="Garamond" w:hAnsi="Garamond"/>
          <w:sz w:val="26"/>
          <w:szCs w:val="26"/>
          <w:u w:val="single"/>
          <w:lang w:val="en-US"/>
        </w:rPr>
      </w:pPr>
    </w:p>
    <w:p w:rsidR="00AC7CD8" w:rsidRDefault="00612DCC" w:rsidP="00612DCC">
      <w:pPr>
        <w:pStyle w:val="ListParagraph"/>
        <w:spacing w:after="0"/>
        <w:ind w:left="360"/>
        <w:rPr>
          <w:rFonts w:ascii="Garamond" w:hAnsi="Garamond" w:cs="Leelawadee"/>
          <w:sz w:val="26"/>
          <w:szCs w:val="26"/>
          <w:lang w:val="en-US"/>
        </w:rPr>
      </w:pPr>
      <w:r>
        <w:rPr>
          <w:rFonts w:ascii="Garamond" w:hAnsi="Garamond" w:cs="Leelawadee"/>
          <w:sz w:val="26"/>
          <w:szCs w:val="26"/>
          <w:lang w:val="en-US"/>
        </w:rPr>
        <w:t xml:space="preserve">PIARCS </w:t>
      </w:r>
      <w:r w:rsidR="00AC7CD8">
        <w:rPr>
          <w:rFonts w:ascii="Garamond" w:hAnsi="Garamond" w:cs="Leelawadee"/>
          <w:sz w:val="26"/>
          <w:szCs w:val="26"/>
          <w:lang w:val="en-US"/>
        </w:rPr>
        <w:t>represents a robust near-to-far term investment thanks to the following strategic advantages:</w:t>
      </w:r>
    </w:p>
    <w:p w:rsidR="009043E7" w:rsidRDefault="009043E7" w:rsidP="009043E7">
      <w:pPr>
        <w:pStyle w:val="ListParagraph"/>
        <w:numPr>
          <w:ilvl w:val="0"/>
          <w:numId w:val="1"/>
        </w:numPr>
        <w:spacing w:after="0"/>
        <w:rPr>
          <w:rFonts w:ascii="Garamond" w:hAnsi="Garamond" w:cs="Leelawadee"/>
          <w:sz w:val="26"/>
          <w:szCs w:val="26"/>
          <w:lang w:val="en-US"/>
        </w:rPr>
      </w:pPr>
      <w:r>
        <w:rPr>
          <w:rFonts w:ascii="Garamond" w:hAnsi="Garamond" w:cs="Leelawadee"/>
          <w:b/>
          <w:sz w:val="26"/>
          <w:szCs w:val="26"/>
          <w:lang w:val="en-US"/>
        </w:rPr>
        <w:t>Cooperative expansion strategy</w:t>
      </w:r>
      <w:r w:rsidRPr="00F22210">
        <w:rPr>
          <w:rFonts w:ascii="Garamond" w:hAnsi="Garamond" w:cs="Leelawadee"/>
          <w:sz w:val="26"/>
          <w:szCs w:val="26"/>
          <w:lang w:val="en-US"/>
        </w:rPr>
        <w:t xml:space="preserve">: PIARCS’ strategic position aims to lead the emergence of a sustainable commodity industry by broadly </w:t>
      </w:r>
      <w:r>
        <w:rPr>
          <w:rFonts w:ascii="Garamond" w:hAnsi="Garamond" w:cs="Leelawadee"/>
          <w:sz w:val="26"/>
          <w:szCs w:val="26"/>
          <w:lang w:val="en-US"/>
        </w:rPr>
        <w:t xml:space="preserve">providing R&amp;D services.  This will lead to highly mutually beneficial interactions with funding partners firms’ existing and future portfolio companies.  </w:t>
      </w:r>
    </w:p>
    <w:p w:rsidR="009043E7" w:rsidRPr="00C65F61" w:rsidRDefault="009043E7" w:rsidP="00BE0E23">
      <w:pPr>
        <w:pStyle w:val="ListParagraph"/>
        <w:numPr>
          <w:ilvl w:val="0"/>
          <w:numId w:val="1"/>
        </w:numPr>
        <w:spacing w:after="0"/>
        <w:rPr>
          <w:rFonts w:ascii="Garamond" w:hAnsi="Garamond" w:cs="Leelawadee"/>
          <w:sz w:val="26"/>
          <w:szCs w:val="26"/>
          <w:lang w:val="en-US"/>
        </w:rPr>
      </w:pPr>
      <w:r w:rsidRPr="00C65F61">
        <w:rPr>
          <w:rFonts w:ascii="Garamond" w:hAnsi="Garamond" w:cs="Leelawadee"/>
          <w:b/>
          <w:sz w:val="26"/>
          <w:szCs w:val="26"/>
          <w:lang w:val="en-US"/>
        </w:rPr>
        <w:t>Capital efficiency</w:t>
      </w:r>
      <w:r w:rsidRPr="00C65F61">
        <w:rPr>
          <w:rFonts w:ascii="Garamond" w:hAnsi="Garamond" w:cs="Leelawadee"/>
          <w:sz w:val="26"/>
          <w:szCs w:val="26"/>
          <w:lang w:val="en-US"/>
        </w:rPr>
        <w:t xml:space="preserve">: </w:t>
      </w:r>
      <w:r w:rsidR="00BE0E23" w:rsidRPr="00BE0E23">
        <w:rPr>
          <w:rFonts w:ascii="Garamond" w:hAnsi="Garamond" w:cs="Leelawadee"/>
          <w:sz w:val="26"/>
          <w:szCs w:val="26"/>
          <w:lang w:val="en-US"/>
        </w:rPr>
        <w:t>the proposed lab structure to validate the far-reaching implications of PIARCS’ IP is inherently efficient, since it only requires a small well-led R&amp;D team and minimal funding: $0.</w:t>
      </w:r>
      <w:r w:rsidR="00713377">
        <w:rPr>
          <w:rFonts w:ascii="Garamond" w:hAnsi="Garamond" w:cs="Leelawadee"/>
          <w:sz w:val="26"/>
          <w:szCs w:val="26"/>
          <w:lang w:val="en-US"/>
        </w:rPr>
        <w:t>2</w:t>
      </w:r>
      <w:r w:rsidR="00BE0E23" w:rsidRPr="00BE0E23">
        <w:rPr>
          <w:rFonts w:ascii="Garamond" w:hAnsi="Garamond" w:cs="Leelawadee"/>
          <w:sz w:val="26"/>
          <w:szCs w:val="26"/>
          <w:lang w:val="en-US"/>
        </w:rPr>
        <w:t>M lab setup cost, $0.</w:t>
      </w:r>
      <w:r w:rsidR="00713377">
        <w:rPr>
          <w:rFonts w:ascii="Garamond" w:hAnsi="Garamond" w:cs="Leelawadee"/>
          <w:sz w:val="26"/>
          <w:szCs w:val="26"/>
          <w:lang w:val="en-US"/>
        </w:rPr>
        <w:t>3</w:t>
      </w:r>
      <w:r w:rsidR="00BE0E23" w:rsidRPr="00BE0E23">
        <w:rPr>
          <w:rFonts w:ascii="Garamond" w:hAnsi="Garamond" w:cs="Leelawadee"/>
          <w:sz w:val="26"/>
          <w:szCs w:val="26"/>
          <w:lang w:val="en-US"/>
        </w:rPr>
        <w:t>M operating cost for Year 1, and a $</w:t>
      </w:r>
      <w:r w:rsidR="00713377">
        <w:rPr>
          <w:rFonts w:ascii="Garamond" w:hAnsi="Garamond" w:cs="Leelawadee"/>
          <w:sz w:val="26"/>
          <w:szCs w:val="26"/>
          <w:lang w:val="en-US"/>
        </w:rPr>
        <w:t>2</w:t>
      </w:r>
      <w:r w:rsidR="00BE0E23" w:rsidRPr="00BE0E23">
        <w:rPr>
          <w:rFonts w:ascii="Garamond" w:hAnsi="Garamond" w:cs="Leelawadee"/>
          <w:sz w:val="26"/>
          <w:szCs w:val="26"/>
          <w:lang w:val="en-US"/>
        </w:rPr>
        <w:t>M operating cost for Year 2-3 (pilot scale validations), after which point PIARCS should ensure fully sustained revenues from licensing</w:t>
      </w:r>
      <w:r w:rsidR="001662B7">
        <w:rPr>
          <w:rFonts w:ascii="Garamond" w:hAnsi="Garamond" w:cs="Leelawadee"/>
          <w:sz w:val="26"/>
          <w:szCs w:val="26"/>
          <w:lang w:val="en-US"/>
        </w:rPr>
        <w:t xml:space="preserve"> and the setup of strategic partnerships</w:t>
      </w:r>
      <w:r w:rsidR="00BE0E23" w:rsidRPr="00BE0E23">
        <w:rPr>
          <w:rFonts w:ascii="Garamond" w:hAnsi="Garamond" w:cs="Leelawadee"/>
          <w:sz w:val="26"/>
          <w:szCs w:val="26"/>
          <w:lang w:val="en-US"/>
        </w:rPr>
        <w:t xml:space="preserve">.  </w:t>
      </w:r>
      <w:r w:rsidR="00BE0E23">
        <w:rPr>
          <w:rFonts w:ascii="Garamond" w:hAnsi="Garamond" w:cs="Leelawadee"/>
          <w:sz w:val="26"/>
          <w:szCs w:val="26"/>
          <w:lang w:val="en-US"/>
        </w:rPr>
        <w:t xml:space="preserve"> </w:t>
      </w:r>
      <w:r>
        <w:rPr>
          <w:rFonts w:ascii="Garamond" w:hAnsi="Garamond" w:cs="Leelawadee"/>
          <w:sz w:val="26"/>
          <w:szCs w:val="26"/>
          <w:lang w:val="en-US"/>
        </w:rPr>
        <w:t>In addition, t</w:t>
      </w:r>
      <w:r w:rsidRPr="00380E34">
        <w:rPr>
          <w:rFonts w:ascii="Garamond" w:hAnsi="Garamond" w:cs="Leelawadee"/>
          <w:sz w:val="26"/>
          <w:szCs w:val="26"/>
          <w:lang w:val="en-US"/>
        </w:rPr>
        <w:t xml:space="preserve">he dual R&amp;D focus provides risk mitigation for the investors, as well as a dual revenue stream from a fixed setup cost.  </w:t>
      </w:r>
    </w:p>
    <w:p w:rsidR="009043E7" w:rsidRDefault="009043E7" w:rsidP="009043E7">
      <w:pPr>
        <w:pStyle w:val="ListParagraph"/>
        <w:numPr>
          <w:ilvl w:val="0"/>
          <w:numId w:val="1"/>
        </w:numPr>
        <w:spacing w:after="0"/>
        <w:rPr>
          <w:rFonts w:ascii="Garamond" w:hAnsi="Garamond" w:cs="Leelawadee"/>
          <w:sz w:val="26"/>
          <w:szCs w:val="26"/>
          <w:lang w:val="en-US"/>
        </w:rPr>
      </w:pPr>
      <w:r w:rsidRPr="00C65F61">
        <w:rPr>
          <w:rFonts w:ascii="Garamond" w:hAnsi="Garamond" w:cs="Leelawadee"/>
          <w:b/>
          <w:sz w:val="26"/>
          <w:szCs w:val="26"/>
          <w:lang w:val="en-US"/>
        </w:rPr>
        <w:t>Near-term markets</w:t>
      </w:r>
      <w:r>
        <w:rPr>
          <w:rFonts w:ascii="Garamond" w:hAnsi="Garamond" w:cs="Leelawadee"/>
          <w:sz w:val="26"/>
          <w:szCs w:val="26"/>
          <w:lang w:val="en-US"/>
        </w:rPr>
        <w:t xml:space="preserve">: the highly mature phosphorous IP alone provides a robust near-term revenue stream due to the convergence of several key factors: </w:t>
      </w:r>
    </w:p>
    <w:p w:rsidR="009043E7" w:rsidRDefault="009043E7" w:rsidP="009043E7">
      <w:pPr>
        <w:pStyle w:val="ListParagraph"/>
        <w:numPr>
          <w:ilvl w:val="1"/>
          <w:numId w:val="1"/>
        </w:numPr>
        <w:spacing w:after="0"/>
        <w:ind w:left="1260"/>
        <w:rPr>
          <w:rFonts w:ascii="Garamond" w:hAnsi="Garamond" w:cs="Leelawadee"/>
          <w:sz w:val="26"/>
          <w:szCs w:val="26"/>
          <w:lang w:val="en-US"/>
        </w:rPr>
      </w:pPr>
      <w:r>
        <w:rPr>
          <w:rFonts w:ascii="Garamond" w:hAnsi="Garamond" w:cs="Leelawadee"/>
          <w:sz w:val="26"/>
          <w:szCs w:val="26"/>
          <w:lang w:val="en-US"/>
        </w:rPr>
        <w:t xml:space="preserve">wastewater treatment plants can be cheaply and easily retrofitted to accommodate for the 1-step biological process; </w:t>
      </w:r>
    </w:p>
    <w:p w:rsidR="009043E7" w:rsidRDefault="009043E7" w:rsidP="009043E7">
      <w:pPr>
        <w:pStyle w:val="ListParagraph"/>
        <w:numPr>
          <w:ilvl w:val="1"/>
          <w:numId w:val="1"/>
        </w:numPr>
        <w:spacing w:after="0"/>
        <w:ind w:left="1260"/>
        <w:rPr>
          <w:rFonts w:ascii="Garamond" w:hAnsi="Garamond" w:cs="Leelawadee"/>
          <w:sz w:val="26"/>
          <w:szCs w:val="26"/>
          <w:lang w:val="en-US"/>
        </w:rPr>
      </w:pPr>
      <w:r>
        <w:rPr>
          <w:rFonts w:ascii="Garamond" w:hAnsi="Garamond" w:cs="Leelawadee"/>
          <w:sz w:val="26"/>
          <w:szCs w:val="26"/>
          <w:lang w:val="en-US"/>
        </w:rPr>
        <w:t>volatile P fertilizer prices highlight the strategic economic importance of high loading P recovery methods;</w:t>
      </w:r>
      <w:r w:rsidRPr="002577D6">
        <w:rPr>
          <w:rFonts w:ascii="Garamond" w:hAnsi="Garamond" w:cs="Leelawadee"/>
          <w:sz w:val="26"/>
          <w:szCs w:val="26"/>
          <w:lang w:val="en-US"/>
        </w:rPr>
        <w:t xml:space="preserve"> </w:t>
      </w:r>
    </w:p>
    <w:p w:rsidR="009043E7" w:rsidRDefault="009043E7" w:rsidP="009043E7">
      <w:pPr>
        <w:pStyle w:val="ListParagraph"/>
        <w:numPr>
          <w:ilvl w:val="1"/>
          <w:numId w:val="1"/>
        </w:numPr>
        <w:spacing w:after="0"/>
        <w:ind w:left="1260"/>
        <w:rPr>
          <w:rFonts w:ascii="Garamond" w:hAnsi="Garamond" w:cs="Leelawadee"/>
          <w:sz w:val="26"/>
          <w:szCs w:val="26"/>
          <w:lang w:val="en-US"/>
        </w:rPr>
      </w:pPr>
      <w:r>
        <w:rPr>
          <w:rFonts w:ascii="Garamond" w:hAnsi="Garamond" w:cs="Leelawadee"/>
          <w:sz w:val="26"/>
          <w:szCs w:val="26"/>
          <w:lang w:val="en-US"/>
        </w:rPr>
        <w:t>at comparable P weight fractions, P recovery from the resulting biological material is greatly eased compared to current extraction processes from rock;</w:t>
      </w:r>
    </w:p>
    <w:p w:rsidR="009043E7" w:rsidRPr="00FF7A6C" w:rsidRDefault="009043E7" w:rsidP="009043E7">
      <w:pPr>
        <w:pStyle w:val="ListParagraph"/>
        <w:numPr>
          <w:ilvl w:val="1"/>
          <w:numId w:val="1"/>
        </w:numPr>
        <w:spacing w:after="0"/>
        <w:ind w:left="1260"/>
        <w:rPr>
          <w:rFonts w:ascii="Garamond" w:hAnsi="Garamond" w:cs="Leelawadee"/>
          <w:sz w:val="26"/>
          <w:szCs w:val="26"/>
          <w:lang w:val="en-US"/>
        </w:rPr>
      </w:pPr>
      <w:r>
        <w:rPr>
          <w:rFonts w:ascii="Garamond" w:hAnsi="Garamond" w:cs="Leelawadee"/>
          <w:sz w:val="26"/>
          <w:szCs w:val="26"/>
          <w:lang w:val="en-US"/>
        </w:rPr>
        <w:t>Stringent EPA P effluent regulations coming into effect 2022-2031 are broadly stimulating investments into alternative P removal methods.</w:t>
      </w:r>
    </w:p>
    <w:p w:rsidR="005334FD" w:rsidRDefault="005334FD">
      <w:pPr>
        <w:rPr>
          <w:rFonts w:ascii="Garamond" w:hAnsi="Garamond"/>
          <w:sz w:val="26"/>
          <w:szCs w:val="26"/>
          <w:u w:val="single"/>
          <w:lang w:val="en-US"/>
        </w:rPr>
      </w:pPr>
      <w:r>
        <w:rPr>
          <w:rFonts w:ascii="Garamond" w:hAnsi="Garamond"/>
          <w:sz w:val="26"/>
          <w:szCs w:val="26"/>
          <w:u w:val="single"/>
          <w:lang w:val="en-US"/>
        </w:rPr>
        <w:br w:type="page"/>
      </w:r>
    </w:p>
    <w:p w:rsidR="009043E7" w:rsidRDefault="009043E7" w:rsidP="00E6602F">
      <w:pPr>
        <w:spacing w:after="0"/>
        <w:ind w:left="360"/>
        <w:rPr>
          <w:rFonts w:ascii="Garamond" w:hAnsi="Garamond"/>
          <w:sz w:val="26"/>
          <w:szCs w:val="26"/>
          <w:u w:val="single"/>
          <w:lang w:val="en-US"/>
        </w:rPr>
      </w:pPr>
    </w:p>
    <w:p w:rsidR="009043E7" w:rsidRDefault="009043E7" w:rsidP="009043E7">
      <w:pPr>
        <w:pStyle w:val="Heading1"/>
        <w:rPr>
          <w:b/>
          <w:color w:val="149346"/>
          <w:sz w:val="28"/>
          <w:szCs w:val="28"/>
          <w:lang w:val="en-US"/>
        </w:rPr>
      </w:pPr>
      <w:bookmarkStart w:id="15" w:name="_Toc403474330"/>
      <w:r>
        <w:rPr>
          <w:b/>
          <w:color w:val="149346"/>
          <w:sz w:val="28"/>
          <w:szCs w:val="28"/>
          <w:lang w:val="en-US"/>
        </w:rPr>
        <w:t>Section 2</w:t>
      </w:r>
      <w:r w:rsidRPr="00034C1B">
        <w:rPr>
          <w:b/>
          <w:color w:val="149346"/>
          <w:sz w:val="28"/>
          <w:szCs w:val="28"/>
          <w:lang w:val="en-US"/>
        </w:rPr>
        <w:t xml:space="preserve">: </w:t>
      </w:r>
      <w:r>
        <w:rPr>
          <w:b/>
          <w:color w:val="149346"/>
          <w:sz w:val="28"/>
          <w:szCs w:val="28"/>
          <w:lang w:val="en-US"/>
        </w:rPr>
        <w:t>Management and operations</w:t>
      </w:r>
      <w:bookmarkEnd w:id="15"/>
    </w:p>
    <w:p w:rsidR="009043E7" w:rsidRPr="009043E7" w:rsidRDefault="009043E7" w:rsidP="009043E7">
      <w:pPr>
        <w:rPr>
          <w:lang w:val="en-US"/>
        </w:rPr>
      </w:pPr>
    </w:p>
    <w:p w:rsidR="009043E7" w:rsidRPr="00C972BA" w:rsidRDefault="008635A9" w:rsidP="009043E7">
      <w:pPr>
        <w:pStyle w:val="Heading2"/>
        <w:rPr>
          <w:b/>
          <w:color w:val="149346"/>
          <w:lang w:val="en-US"/>
        </w:rPr>
      </w:pPr>
      <w:bookmarkStart w:id="16" w:name="_Toc403474331"/>
      <w:r>
        <w:rPr>
          <w:b/>
          <w:color w:val="149346"/>
          <w:lang w:val="en-US"/>
        </w:rPr>
        <w:t>A</w:t>
      </w:r>
      <w:r w:rsidR="009043E7" w:rsidRPr="00034C1B">
        <w:rPr>
          <w:b/>
          <w:color w:val="149346"/>
          <w:lang w:val="en-US"/>
        </w:rPr>
        <w:t xml:space="preserve"> </w:t>
      </w:r>
      <w:r w:rsidR="009043E7">
        <w:rPr>
          <w:b/>
          <w:color w:val="149346"/>
          <w:lang w:val="en-US"/>
        </w:rPr>
        <w:t>–</w:t>
      </w:r>
      <w:r w:rsidR="009043E7" w:rsidRPr="00034C1B">
        <w:rPr>
          <w:b/>
          <w:color w:val="149346"/>
          <w:lang w:val="en-US"/>
        </w:rPr>
        <w:t xml:space="preserve"> </w:t>
      </w:r>
      <w:r w:rsidR="00250E8B">
        <w:rPr>
          <w:b/>
          <w:color w:val="149346"/>
          <w:lang w:val="en-US"/>
        </w:rPr>
        <w:t>Business team</w:t>
      </w:r>
      <w:r w:rsidR="00BD6FC5">
        <w:rPr>
          <w:b/>
          <w:color w:val="149346"/>
          <w:lang w:val="en-US"/>
        </w:rPr>
        <w:t xml:space="preserve"> </w:t>
      </w:r>
      <w:r w:rsidR="00207D89">
        <w:rPr>
          <w:b/>
          <w:color w:val="149346"/>
          <w:lang w:val="en-US"/>
        </w:rPr>
        <w:t>and location</w:t>
      </w:r>
      <w:bookmarkEnd w:id="16"/>
    </w:p>
    <w:p w:rsidR="009043E7" w:rsidRDefault="009043E7" w:rsidP="002200B5">
      <w:pPr>
        <w:spacing w:after="0"/>
        <w:ind w:left="360"/>
        <w:rPr>
          <w:rFonts w:ascii="Garamond" w:hAnsi="Garamond"/>
          <w:sz w:val="26"/>
          <w:szCs w:val="26"/>
          <w:u w:val="single"/>
          <w:lang w:val="en-US"/>
        </w:rPr>
      </w:pPr>
    </w:p>
    <w:p w:rsidR="00B964FF" w:rsidRDefault="00B964FF" w:rsidP="00094CC8">
      <w:pPr>
        <w:spacing w:after="120"/>
        <w:ind w:left="360"/>
        <w:rPr>
          <w:rFonts w:ascii="Garamond" w:hAnsi="Garamond"/>
          <w:sz w:val="26"/>
          <w:szCs w:val="26"/>
          <w:lang w:val="en-US"/>
        </w:rPr>
      </w:pPr>
      <w:r>
        <w:rPr>
          <w:rFonts w:ascii="Garamond" w:hAnsi="Garamond"/>
          <w:sz w:val="26"/>
          <w:szCs w:val="26"/>
          <w:lang w:val="en-US"/>
        </w:rPr>
        <w:t>The $</w:t>
      </w:r>
      <w:r w:rsidR="00713377">
        <w:rPr>
          <w:rFonts w:ascii="Garamond" w:hAnsi="Garamond"/>
          <w:sz w:val="26"/>
          <w:szCs w:val="26"/>
          <w:lang w:val="en-US"/>
        </w:rPr>
        <w:t>5</w:t>
      </w:r>
      <w:r w:rsidR="001662B7">
        <w:rPr>
          <w:rFonts w:ascii="Garamond" w:hAnsi="Garamond"/>
          <w:sz w:val="26"/>
          <w:szCs w:val="26"/>
          <w:lang w:val="en-US"/>
        </w:rPr>
        <w:t>0</w:t>
      </w:r>
      <w:r>
        <w:rPr>
          <w:rFonts w:ascii="Garamond" w:hAnsi="Garamond"/>
          <w:sz w:val="26"/>
          <w:szCs w:val="26"/>
          <w:lang w:val="en-US"/>
        </w:rPr>
        <w:t>0,000 seed investments (first 6-</w:t>
      </w:r>
      <w:r w:rsidR="00713377">
        <w:rPr>
          <w:rFonts w:ascii="Garamond" w:hAnsi="Garamond"/>
          <w:sz w:val="26"/>
          <w:szCs w:val="26"/>
          <w:lang w:val="en-US"/>
        </w:rPr>
        <w:t>9</w:t>
      </w:r>
      <w:r>
        <w:rPr>
          <w:rFonts w:ascii="Garamond" w:hAnsi="Garamond"/>
          <w:sz w:val="26"/>
          <w:szCs w:val="26"/>
          <w:lang w:val="en-US"/>
        </w:rPr>
        <w:t xml:space="preserve"> months R&amp;D) will fund a minimal team comprising the founder herself</w:t>
      </w:r>
      <w:r w:rsidR="00713377">
        <w:rPr>
          <w:rFonts w:ascii="Garamond" w:hAnsi="Garamond"/>
          <w:sz w:val="26"/>
          <w:szCs w:val="26"/>
          <w:lang w:val="en-US"/>
        </w:rPr>
        <w:t xml:space="preserve"> </w:t>
      </w:r>
      <w:r>
        <w:rPr>
          <w:rFonts w:ascii="Garamond" w:hAnsi="Garamond"/>
          <w:sz w:val="26"/>
          <w:szCs w:val="26"/>
          <w:lang w:val="en-US"/>
        </w:rPr>
        <w:t>and a</w:t>
      </w:r>
      <w:r w:rsidR="00713377">
        <w:rPr>
          <w:rFonts w:ascii="Garamond" w:hAnsi="Garamond"/>
          <w:sz w:val="26"/>
          <w:szCs w:val="26"/>
          <w:lang w:val="en-US"/>
        </w:rPr>
        <w:t xml:space="preserve"> part-time</w:t>
      </w:r>
      <w:r>
        <w:rPr>
          <w:rFonts w:ascii="Garamond" w:hAnsi="Garamond"/>
          <w:sz w:val="26"/>
          <w:szCs w:val="26"/>
          <w:lang w:val="en-US"/>
        </w:rPr>
        <w:t xml:space="preserve"> lab helper.  </w:t>
      </w:r>
      <w:r w:rsidRPr="00B964FF">
        <w:rPr>
          <w:rFonts w:ascii="Garamond" w:hAnsi="Garamond"/>
          <w:sz w:val="26"/>
          <w:szCs w:val="26"/>
          <w:lang w:val="en-US"/>
        </w:rPr>
        <w:t>In addition, contractors will be hired to carry out specific parts of the projects.</w:t>
      </w:r>
    </w:p>
    <w:p w:rsidR="00B91158" w:rsidRDefault="00970681" w:rsidP="00094CC8">
      <w:pPr>
        <w:spacing w:after="120"/>
        <w:ind w:left="360"/>
        <w:rPr>
          <w:rFonts w:ascii="Garamond" w:hAnsi="Garamond"/>
          <w:sz w:val="26"/>
          <w:szCs w:val="26"/>
          <w:lang w:val="en-US"/>
        </w:rPr>
      </w:pPr>
      <w:r>
        <w:rPr>
          <w:rFonts w:ascii="Garamond" w:hAnsi="Garamond"/>
          <w:sz w:val="26"/>
          <w:szCs w:val="26"/>
          <w:lang w:val="en-US"/>
        </w:rPr>
        <w:t>The founder</w:t>
      </w:r>
      <w:r w:rsidR="00E16C2A">
        <w:rPr>
          <w:rFonts w:ascii="Garamond" w:hAnsi="Garamond"/>
          <w:sz w:val="26"/>
          <w:szCs w:val="26"/>
          <w:lang w:val="en-US"/>
        </w:rPr>
        <w:t xml:space="preserve"> </w:t>
      </w:r>
      <w:r w:rsidR="00115FE1">
        <w:rPr>
          <w:rFonts w:ascii="Garamond" w:hAnsi="Garamond"/>
          <w:sz w:val="26"/>
          <w:szCs w:val="26"/>
          <w:lang w:val="en-US"/>
        </w:rPr>
        <w:t>(CV provided in section 3</w:t>
      </w:r>
      <w:r w:rsidR="00B304CA">
        <w:rPr>
          <w:rFonts w:ascii="Garamond" w:hAnsi="Garamond"/>
          <w:sz w:val="26"/>
          <w:szCs w:val="26"/>
          <w:lang w:val="en-US"/>
        </w:rPr>
        <w:t>A</w:t>
      </w:r>
      <w:r w:rsidR="00115FE1">
        <w:rPr>
          <w:rFonts w:ascii="Garamond" w:hAnsi="Garamond"/>
          <w:sz w:val="26"/>
          <w:szCs w:val="26"/>
          <w:lang w:val="en-US"/>
        </w:rPr>
        <w:t xml:space="preserve">) </w:t>
      </w:r>
      <w:r w:rsidR="00E16C2A">
        <w:rPr>
          <w:rFonts w:ascii="Garamond" w:hAnsi="Garamond"/>
          <w:sz w:val="26"/>
          <w:szCs w:val="26"/>
          <w:lang w:val="en-US"/>
        </w:rPr>
        <w:t xml:space="preserve">developed her qualities as a manager along two different types of experiences.  First, she has supervised students and student projects.  During her PhD, she designed and taught a Chemical Engineering elective on algal research, and supervised undergraduate research projects.  Second, during her doctorate and post-doctorate experiences, she has had much experience setting-up lab spaces to conduct her </w:t>
      </w:r>
      <w:r w:rsidR="00B9396B">
        <w:rPr>
          <w:rFonts w:ascii="Garamond" w:hAnsi="Garamond"/>
          <w:sz w:val="26"/>
          <w:szCs w:val="26"/>
          <w:lang w:val="en-US"/>
        </w:rPr>
        <w:t xml:space="preserve">independent </w:t>
      </w:r>
      <w:r w:rsidR="00E16C2A">
        <w:rPr>
          <w:rFonts w:ascii="Garamond" w:hAnsi="Garamond"/>
          <w:sz w:val="26"/>
          <w:szCs w:val="26"/>
          <w:lang w:val="en-US"/>
        </w:rPr>
        <w:t>research</w:t>
      </w:r>
      <w:r w:rsidR="00B91158">
        <w:rPr>
          <w:rFonts w:ascii="Garamond" w:hAnsi="Garamond"/>
          <w:sz w:val="26"/>
          <w:szCs w:val="26"/>
          <w:lang w:val="en-US"/>
        </w:rPr>
        <w:t>: she setup part of her bench space to allow for algal research during her PhD, which was a topic unrelated to her thesis project; at the University of Manchester</w:t>
      </w:r>
      <w:r w:rsidR="00B9396B">
        <w:rPr>
          <w:rFonts w:ascii="Garamond" w:hAnsi="Garamond"/>
          <w:sz w:val="26"/>
          <w:szCs w:val="26"/>
          <w:lang w:val="en-US"/>
        </w:rPr>
        <w:t xml:space="preserve"> (U.K.)</w:t>
      </w:r>
      <w:r w:rsidR="00B91158">
        <w:rPr>
          <w:rFonts w:ascii="Garamond" w:hAnsi="Garamond"/>
          <w:sz w:val="26"/>
          <w:szCs w:val="26"/>
          <w:lang w:val="en-US"/>
        </w:rPr>
        <w:t xml:space="preserve">, during her stay as an unpaid visiting scholar, she setup the lab space and bought supplies to conduct </w:t>
      </w:r>
      <w:r w:rsidR="007C3F49">
        <w:rPr>
          <w:rFonts w:ascii="Garamond" w:hAnsi="Garamond"/>
          <w:sz w:val="26"/>
          <w:szCs w:val="26"/>
          <w:lang w:val="en-US"/>
        </w:rPr>
        <w:t xml:space="preserve">independently </w:t>
      </w:r>
      <w:r w:rsidR="00B91158">
        <w:rPr>
          <w:rFonts w:ascii="Garamond" w:hAnsi="Garamond"/>
          <w:sz w:val="26"/>
          <w:szCs w:val="26"/>
          <w:lang w:val="en-US"/>
        </w:rPr>
        <w:t>her assays and experiments in algal research</w:t>
      </w:r>
      <w:r w:rsidR="007C3F49">
        <w:rPr>
          <w:rFonts w:ascii="Garamond" w:hAnsi="Garamond"/>
          <w:sz w:val="26"/>
          <w:szCs w:val="26"/>
          <w:lang w:val="en-US"/>
        </w:rPr>
        <w:t>, which entailed finding PI’s willing to share their equipment</w:t>
      </w:r>
      <w:r w:rsidR="00B91158">
        <w:rPr>
          <w:rFonts w:ascii="Garamond" w:hAnsi="Garamond"/>
          <w:sz w:val="26"/>
          <w:szCs w:val="26"/>
          <w:lang w:val="en-US"/>
        </w:rPr>
        <w:t>; at Brigham Young University</w:t>
      </w:r>
      <w:r w:rsidR="00B9396B">
        <w:rPr>
          <w:rFonts w:ascii="Garamond" w:hAnsi="Garamond"/>
          <w:sz w:val="26"/>
          <w:szCs w:val="26"/>
          <w:lang w:val="en-US"/>
        </w:rPr>
        <w:t xml:space="preserve"> (Utah)</w:t>
      </w:r>
      <w:r w:rsidR="00B91158">
        <w:rPr>
          <w:rFonts w:ascii="Garamond" w:hAnsi="Garamond"/>
          <w:sz w:val="26"/>
          <w:szCs w:val="26"/>
          <w:lang w:val="en-US"/>
        </w:rPr>
        <w:t xml:space="preserve">, </w:t>
      </w:r>
      <w:r w:rsidR="007C3F49">
        <w:rPr>
          <w:rFonts w:ascii="Garamond" w:hAnsi="Garamond"/>
          <w:sz w:val="26"/>
          <w:szCs w:val="26"/>
          <w:lang w:val="en-US"/>
        </w:rPr>
        <w:t>she had a similar experience conducting her phosphorous</w:t>
      </w:r>
      <w:r w:rsidR="00B9396B">
        <w:rPr>
          <w:rFonts w:ascii="Garamond" w:hAnsi="Garamond"/>
          <w:sz w:val="26"/>
          <w:szCs w:val="26"/>
          <w:lang w:val="en-US"/>
        </w:rPr>
        <w:t xml:space="preserve"> research; at Purdue University (Indiana), during her fellowship with Prof. Barry Wanner, she setup the new lab space due to construction work.  A</w:t>
      </w:r>
      <w:r w:rsidR="007C3F49">
        <w:rPr>
          <w:rFonts w:ascii="Garamond" w:hAnsi="Garamond"/>
          <w:sz w:val="26"/>
          <w:szCs w:val="26"/>
          <w:lang w:val="en-US"/>
        </w:rPr>
        <w:t>ll these experiences meant handling the logistics of transporting</w:t>
      </w:r>
      <w:r w:rsidR="00B9396B">
        <w:rPr>
          <w:rFonts w:ascii="Garamond" w:hAnsi="Garamond"/>
          <w:sz w:val="26"/>
          <w:szCs w:val="26"/>
          <w:lang w:val="en-US"/>
        </w:rPr>
        <w:t xml:space="preserve"> supplies,</w:t>
      </w:r>
      <w:r w:rsidR="007C3F49">
        <w:rPr>
          <w:rFonts w:ascii="Garamond" w:hAnsi="Garamond"/>
          <w:sz w:val="26"/>
          <w:szCs w:val="26"/>
          <w:lang w:val="en-US"/>
        </w:rPr>
        <w:t xml:space="preserve"> algal cultures</w:t>
      </w:r>
      <w:r w:rsidR="00B9396B">
        <w:rPr>
          <w:rFonts w:ascii="Garamond" w:hAnsi="Garamond"/>
          <w:sz w:val="26"/>
          <w:szCs w:val="26"/>
          <w:lang w:val="en-US"/>
        </w:rPr>
        <w:t xml:space="preserve"> (in liquid)</w:t>
      </w:r>
      <w:r w:rsidR="007C3F49">
        <w:rPr>
          <w:rFonts w:ascii="Garamond" w:hAnsi="Garamond"/>
          <w:sz w:val="26"/>
          <w:szCs w:val="26"/>
          <w:lang w:val="en-US"/>
        </w:rPr>
        <w:t xml:space="preserve"> and</w:t>
      </w:r>
      <w:r w:rsidR="00B9396B">
        <w:rPr>
          <w:rFonts w:ascii="Garamond" w:hAnsi="Garamond"/>
          <w:sz w:val="26"/>
          <w:szCs w:val="26"/>
          <w:lang w:val="en-US"/>
        </w:rPr>
        <w:t>/or</w:t>
      </w:r>
      <w:r w:rsidR="007C3F49">
        <w:rPr>
          <w:rFonts w:ascii="Garamond" w:hAnsi="Garamond"/>
          <w:sz w:val="26"/>
          <w:szCs w:val="26"/>
          <w:lang w:val="en-US"/>
        </w:rPr>
        <w:t xml:space="preserve"> bacterial strains (agar or dry ice) numerous times</w:t>
      </w:r>
      <w:r w:rsidR="00B9396B">
        <w:rPr>
          <w:rFonts w:ascii="Garamond" w:hAnsi="Garamond"/>
          <w:sz w:val="26"/>
          <w:szCs w:val="26"/>
          <w:lang w:val="en-US"/>
        </w:rPr>
        <w:t xml:space="preserve"> to-and-from Europe.</w:t>
      </w:r>
      <w:r w:rsidR="007C3F49">
        <w:rPr>
          <w:rFonts w:ascii="Garamond" w:hAnsi="Garamond"/>
          <w:sz w:val="26"/>
          <w:szCs w:val="26"/>
          <w:lang w:val="en-US"/>
        </w:rPr>
        <w:t xml:space="preserve">  </w:t>
      </w:r>
      <w:r w:rsidR="00DD0D88">
        <w:rPr>
          <w:rFonts w:ascii="Garamond" w:hAnsi="Garamond"/>
          <w:sz w:val="26"/>
          <w:szCs w:val="26"/>
          <w:lang w:val="en-US"/>
        </w:rPr>
        <w:t>This also taught the founder how to make highly efficient use of limiting funds and resources.</w:t>
      </w:r>
    </w:p>
    <w:p w:rsidR="00B9396B" w:rsidRDefault="00B964FF" w:rsidP="00B9396B">
      <w:pPr>
        <w:spacing w:after="120"/>
        <w:ind w:left="360"/>
        <w:rPr>
          <w:rFonts w:ascii="Garamond" w:hAnsi="Garamond"/>
          <w:sz w:val="26"/>
          <w:szCs w:val="26"/>
          <w:lang w:val="en-US"/>
        </w:rPr>
      </w:pPr>
      <w:r>
        <w:rPr>
          <w:rFonts w:ascii="Garamond" w:hAnsi="Garamond"/>
          <w:sz w:val="26"/>
          <w:szCs w:val="26"/>
          <w:lang w:val="en-US"/>
        </w:rPr>
        <w:t xml:space="preserve">During this startup stage, PIARCS </w:t>
      </w:r>
      <w:r w:rsidR="00EE7439">
        <w:rPr>
          <w:rFonts w:ascii="Garamond" w:hAnsi="Garamond"/>
          <w:sz w:val="26"/>
          <w:szCs w:val="26"/>
          <w:lang w:val="en-US"/>
        </w:rPr>
        <w:t>will be</w:t>
      </w:r>
      <w:r>
        <w:rPr>
          <w:rFonts w:ascii="Garamond" w:hAnsi="Garamond"/>
          <w:sz w:val="26"/>
          <w:szCs w:val="26"/>
          <w:lang w:val="en-US"/>
        </w:rPr>
        <w:t xml:space="preserve"> renting a lab-space on the </w:t>
      </w:r>
      <w:r w:rsidR="00B9396B" w:rsidRPr="00207D89">
        <w:rPr>
          <w:rFonts w:ascii="Garamond" w:hAnsi="Garamond"/>
          <w:sz w:val="26"/>
          <w:szCs w:val="26"/>
          <w:lang w:val="en-US"/>
        </w:rPr>
        <w:t>University of Color</w:t>
      </w:r>
      <w:r>
        <w:rPr>
          <w:rFonts w:ascii="Garamond" w:hAnsi="Garamond"/>
          <w:sz w:val="26"/>
          <w:szCs w:val="26"/>
          <w:lang w:val="en-US"/>
        </w:rPr>
        <w:t>ado,</w:t>
      </w:r>
      <w:r w:rsidR="009D1D31">
        <w:rPr>
          <w:rFonts w:ascii="Garamond" w:hAnsi="Garamond"/>
          <w:sz w:val="26"/>
          <w:szCs w:val="26"/>
          <w:lang w:val="en-US"/>
        </w:rPr>
        <w:t xml:space="preserve"> Boulder campus</w:t>
      </w:r>
      <w:r w:rsidR="001662B7">
        <w:rPr>
          <w:rFonts w:ascii="Garamond" w:hAnsi="Garamond"/>
          <w:sz w:val="26"/>
          <w:szCs w:val="26"/>
          <w:lang w:val="en-US"/>
        </w:rPr>
        <w:t xml:space="preserve"> (BioFrontiers building)</w:t>
      </w:r>
      <w:r w:rsidR="009D1D31">
        <w:rPr>
          <w:rFonts w:ascii="Garamond" w:hAnsi="Garamond"/>
          <w:sz w:val="26"/>
          <w:szCs w:val="26"/>
          <w:lang w:val="en-US"/>
        </w:rPr>
        <w:t>.  T</w:t>
      </w:r>
      <w:r w:rsidR="00B9396B" w:rsidRPr="00207D89">
        <w:rPr>
          <w:rFonts w:ascii="Garamond" w:hAnsi="Garamond"/>
          <w:sz w:val="26"/>
          <w:szCs w:val="26"/>
          <w:lang w:val="en-US"/>
        </w:rPr>
        <w:t xml:space="preserve">he Colorado School of Mines and NREL are in Golden, which is only 30 min from Boulder.  </w:t>
      </w:r>
      <w:r w:rsidR="00DD0D88">
        <w:rPr>
          <w:rFonts w:ascii="Garamond" w:hAnsi="Garamond"/>
          <w:sz w:val="26"/>
          <w:szCs w:val="26"/>
          <w:lang w:val="en-US"/>
        </w:rPr>
        <w:t>These provide</w:t>
      </w:r>
      <w:r w:rsidR="00B9396B" w:rsidRPr="00207D89">
        <w:rPr>
          <w:rFonts w:ascii="Garamond" w:hAnsi="Garamond"/>
          <w:sz w:val="26"/>
          <w:szCs w:val="26"/>
          <w:lang w:val="en-US"/>
        </w:rPr>
        <w:t xml:space="preserve"> opportunity for </w:t>
      </w:r>
      <w:r>
        <w:rPr>
          <w:rFonts w:ascii="Garamond" w:hAnsi="Garamond"/>
          <w:sz w:val="26"/>
          <w:szCs w:val="26"/>
          <w:lang w:val="en-US"/>
        </w:rPr>
        <w:t xml:space="preserve">later </w:t>
      </w:r>
      <w:r w:rsidR="00B9396B" w:rsidRPr="00207D89">
        <w:rPr>
          <w:rFonts w:ascii="Garamond" w:hAnsi="Garamond"/>
          <w:sz w:val="26"/>
          <w:szCs w:val="26"/>
          <w:lang w:val="en-US"/>
        </w:rPr>
        <w:t>collaborations</w:t>
      </w:r>
      <w:r w:rsidR="00B9396B">
        <w:rPr>
          <w:rFonts w:ascii="Garamond" w:hAnsi="Garamond"/>
          <w:sz w:val="26"/>
          <w:szCs w:val="26"/>
          <w:lang w:val="en-US"/>
        </w:rPr>
        <w:t xml:space="preserve"> and hires</w:t>
      </w:r>
      <w:r w:rsidR="00DD0D88">
        <w:rPr>
          <w:rFonts w:ascii="Garamond" w:hAnsi="Garamond"/>
          <w:sz w:val="26"/>
          <w:szCs w:val="26"/>
          <w:lang w:val="en-US"/>
        </w:rPr>
        <w:t>.</w:t>
      </w:r>
    </w:p>
    <w:p w:rsidR="00BD6FC5" w:rsidRDefault="00BD6FC5" w:rsidP="00B9396B">
      <w:pPr>
        <w:spacing w:after="120"/>
        <w:ind w:left="360"/>
        <w:rPr>
          <w:rFonts w:ascii="Garamond" w:hAnsi="Garamond"/>
          <w:sz w:val="26"/>
          <w:szCs w:val="26"/>
          <w:lang w:val="en-US"/>
        </w:rPr>
      </w:pPr>
      <w:r>
        <w:rPr>
          <w:rFonts w:ascii="Garamond" w:hAnsi="Garamond"/>
          <w:sz w:val="26"/>
          <w:szCs w:val="26"/>
          <w:lang w:val="en-US"/>
        </w:rPr>
        <w:t>For the near term, in the event of successful matching State or Federal grant, PIARCS will hire a PhD-level collaborator to carry out phosphorus and/or the algae R&amp;D.  This perfect fit, which is currently working elsewhere, has dual experience in both algae and bacterial culturing systems.</w:t>
      </w:r>
    </w:p>
    <w:p w:rsidR="00B964FF" w:rsidRDefault="00D3031B" w:rsidP="00D3031B">
      <w:pPr>
        <w:spacing w:after="120"/>
        <w:ind w:left="360"/>
        <w:rPr>
          <w:rFonts w:ascii="Garamond" w:hAnsi="Garamond"/>
          <w:sz w:val="26"/>
          <w:szCs w:val="26"/>
          <w:lang w:val="en-US"/>
        </w:rPr>
      </w:pPr>
      <w:r>
        <w:rPr>
          <w:rFonts w:ascii="Garamond" w:hAnsi="Garamond"/>
          <w:sz w:val="26"/>
          <w:szCs w:val="26"/>
          <w:lang w:val="en-US"/>
        </w:rPr>
        <w:t xml:space="preserve">PIARCS’ founding process was supported pro-bono by </w:t>
      </w:r>
      <w:r w:rsidRPr="00094CC8">
        <w:rPr>
          <w:rFonts w:ascii="Garamond" w:hAnsi="Garamond"/>
          <w:sz w:val="26"/>
          <w:szCs w:val="26"/>
          <w:lang w:val="en-US"/>
        </w:rPr>
        <w:t>the University of Washington Entrepreneurial Law Clinic</w:t>
      </w:r>
      <w:r>
        <w:rPr>
          <w:rFonts w:ascii="Garamond" w:hAnsi="Garamond"/>
          <w:sz w:val="26"/>
          <w:szCs w:val="26"/>
          <w:lang w:val="en-US"/>
        </w:rPr>
        <w:t xml:space="preserve"> (ELC).  In this process, Eric Carnell and licensed legal intern Brandon Gratias have drafted a robust Non-Disclosure Agreement, PIARCS’ incorporation documents as well as a Contractor Agreement.  </w:t>
      </w:r>
    </w:p>
    <w:p w:rsidR="00B964FF" w:rsidRDefault="00B964FF" w:rsidP="00D3031B">
      <w:pPr>
        <w:spacing w:after="120"/>
        <w:ind w:left="360"/>
        <w:rPr>
          <w:rFonts w:ascii="Garamond" w:hAnsi="Garamond"/>
          <w:sz w:val="26"/>
          <w:szCs w:val="26"/>
          <w:lang w:val="en-US"/>
        </w:rPr>
      </w:pPr>
      <w:r>
        <w:rPr>
          <w:rFonts w:ascii="Garamond" w:hAnsi="Garamond"/>
          <w:sz w:val="26"/>
          <w:szCs w:val="26"/>
          <w:lang w:val="en-US"/>
        </w:rPr>
        <w:t>PIARCS is currently benefiting from referrals from the UC Boulder ELC for legal assistance (IP lawyer, CPA, drafting an equity investment contract etc.).</w:t>
      </w:r>
      <w:r w:rsidR="00316516">
        <w:rPr>
          <w:rFonts w:ascii="Garamond" w:hAnsi="Garamond"/>
          <w:sz w:val="26"/>
          <w:szCs w:val="26"/>
          <w:lang w:val="en-US"/>
        </w:rPr>
        <w:t xml:space="preserve">  PIARCS’ corporate lawyer, Trish Rogers at Moye White</w:t>
      </w:r>
      <w:r w:rsidR="00FC0070">
        <w:rPr>
          <w:rFonts w:ascii="Garamond" w:hAnsi="Garamond"/>
          <w:sz w:val="26"/>
          <w:szCs w:val="26"/>
          <w:lang w:val="en-US"/>
        </w:rPr>
        <w:t xml:space="preserve"> (Denver, CO)</w:t>
      </w:r>
      <w:r w:rsidR="00316516">
        <w:rPr>
          <w:rFonts w:ascii="Garamond" w:hAnsi="Garamond"/>
          <w:sz w:val="26"/>
          <w:szCs w:val="26"/>
          <w:lang w:val="en-US"/>
        </w:rPr>
        <w:t>, has taken-on the challenge to draft SEC Rule 506(c)-compliant Offering documents, as well as a contractual dividend structure built-in PIARCS’ Certificate of Incorporation.</w:t>
      </w:r>
    </w:p>
    <w:p w:rsidR="001662B7" w:rsidRPr="006F602C" w:rsidRDefault="006F602C" w:rsidP="00207D89">
      <w:pPr>
        <w:spacing w:after="120"/>
        <w:ind w:left="360"/>
        <w:rPr>
          <w:rFonts w:ascii="Garamond" w:hAnsi="Garamond"/>
          <w:sz w:val="26"/>
          <w:szCs w:val="26"/>
          <w:lang w:val="en-US"/>
        </w:rPr>
      </w:pPr>
      <w:r w:rsidRPr="006F602C">
        <w:rPr>
          <w:rFonts w:ascii="Garamond" w:hAnsi="Garamond"/>
          <w:sz w:val="26"/>
          <w:szCs w:val="26"/>
          <w:lang w:val="en-US"/>
        </w:rPr>
        <w:t>PIARCS is currently seeking to fill a void in the leadership team in the area of business</w:t>
      </w:r>
      <w:r w:rsidR="00FC0070">
        <w:rPr>
          <w:rFonts w:ascii="Garamond" w:hAnsi="Garamond"/>
          <w:sz w:val="26"/>
          <w:szCs w:val="26"/>
          <w:lang w:val="en-US"/>
        </w:rPr>
        <w:t xml:space="preserve"> </w:t>
      </w:r>
      <w:r w:rsidRPr="006F602C">
        <w:rPr>
          <w:rFonts w:ascii="Garamond" w:hAnsi="Garamond"/>
          <w:sz w:val="26"/>
          <w:szCs w:val="26"/>
          <w:lang w:val="en-US"/>
        </w:rPr>
        <w:t>development and marketing.  At this stage, until prototype validation has been achieved, input in this area is provided by ad hoc feedback from experts as well as on a consulting basis.  Importantly, PIARCS is seeking a business team member which is keenly familiar with the Wastewater sector, since market development heavily relies on technical discussion with Facility managers.  PIARCS is hoping to find such qualities as it becomes more familiar with the Wastewater Treatment sector, notably by participating in the WERF LIFT Scan program.</w:t>
      </w:r>
      <w:r w:rsidR="00FC0070">
        <w:rPr>
          <w:rFonts w:ascii="Garamond" w:hAnsi="Garamond"/>
          <w:sz w:val="26"/>
          <w:szCs w:val="26"/>
          <w:lang w:val="en-US"/>
        </w:rPr>
        <w:t xml:space="preserve"> </w:t>
      </w:r>
    </w:p>
    <w:p w:rsidR="006F602C" w:rsidRDefault="006F602C" w:rsidP="00207D89">
      <w:pPr>
        <w:spacing w:after="120"/>
        <w:ind w:left="360"/>
        <w:rPr>
          <w:rFonts w:ascii="Garamond" w:eastAsia="Calibri" w:hAnsi="Garamond" w:cs="Times New Roman"/>
          <w:sz w:val="26"/>
          <w:szCs w:val="26"/>
          <w:lang w:val="en-US"/>
        </w:rPr>
      </w:pPr>
      <w:r>
        <w:rPr>
          <w:rFonts w:ascii="Garamond" w:eastAsia="Calibri" w:hAnsi="Garamond" w:cs="Times New Roman"/>
          <w:sz w:val="26"/>
          <w:szCs w:val="26"/>
          <w:lang w:val="en-US"/>
        </w:rPr>
        <w:t>PIARCS’ key advisors are:</w:t>
      </w:r>
    </w:p>
    <w:p w:rsidR="006F602C" w:rsidRDefault="006F602C" w:rsidP="00FC0070">
      <w:pPr>
        <w:spacing w:after="120"/>
        <w:ind w:left="900" w:hanging="540"/>
        <w:rPr>
          <w:rFonts w:ascii="Garamond" w:eastAsia="Calibri" w:hAnsi="Garamond" w:cs="Times New Roman"/>
          <w:sz w:val="26"/>
          <w:szCs w:val="26"/>
          <w:lang w:val="en-US"/>
        </w:rPr>
      </w:pPr>
      <w:r w:rsidRPr="006F602C">
        <w:rPr>
          <w:rFonts w:ascii="Garamond" w:eastAsia="Calibri" w:hAnsi="Garamond" w:cs="Times New Roman"/>
          <w:sz w:val="26"/>
          <w:szCs w:val="26"/>
          <w:u w:val="single"/>
          <w:lang w:val="en-US"/>
        </w:rPr>
        <w:t>Strategic</w:t>
      </w:r>
      <w:r w:rsidRPr="006F602C">
        <w:rPr>
          <w:rFonts w:ascii="Garamond" w:eastAsia="Calibri" w:hAnsi="Garamond" w:cs="Times New Roman"/>
          <w:sz w:val="26"/>
          <w:szCs w:val="26"/>
          <w:lang w:val="en-US"/>
        </w:rPr>
        <w:t xml:space="preserve">: Peter Adams at the Rockies Venture Club; Brad Bernthal (UC Boulder Director of the ELC) for referrals. </w:t>
      </w:r>
    </w:p>
    <w:p w:rsidR="006F602C" w:rsidRDefault="006F602C" w:rsidP="00FC0070">
      <w:pPr>
        <w:spacing w:after="120"/>
        <w:ind w:left="900" w:hanging="540"/>
        <w:rPr>
          <w:rFonts w:ascii="Garamond" w:eastAsia="Calibri" w:hAnsi="Garamond" w:cs="Times New Roman"/>
          <w:sz w:val="26"/>
          <w:szCs w:val="26"/>
          <w:lang w:val="en-US"/>
        </w:rPr>
      </w:pPr>
      <w:r>
        <w:rPr>
          <w:rFonts w:ascii="Garamond" w:eastAsia="Calibri" w:hAnsi="Garamond" w:cs="Times New Roman"/>
          <w:sz w:val="26"/>
          <w:szCs w:val="26"/>
          <w:u w:val="single"/>
          <w:lang w:val="en-US"/>
        </w:rPr>
        <w:t>Intellectual Property</w:t>
      </w:r>
      <w:r>
        <w:rPr>
          <w:rFonts w:ascii="Garamond" w:eastAsia="Calibri" w:hAnsi="Garamond" w:cs="Times New Roman"/>
          <w:sz w:val="26"/>
          <w:szCs w:val="26"/>
          <w:lang w:val="en-US"/>
        </w:rPr>
        <w:t>: Ross Breyfogle at MFB law (Denver, CO); Billion &amp; Armitage (Minneapolis, MN)</w:t>
      </w:r>
      <w:r w:rsidRPr="006F602C">
        <w:rPr>
          <w:rFonts w:ascii="Garamond" w:eastAsia="Calibri" w:hAnsi="Garamond" w:cs="Times New Roman"/>
          <w:sz w:val="26"/>
          <w:szCs w:val="26"/>
          <w:lang w:val="en-US"/>
        </w:rPr>
        <w:t xml:space="preserve"> </w:t>
      </w:r>
    </w:p>
    <w:p w:rsidR="006F602C" w:rsidRDefault="006F602C" w:rsidP="00FC0070">
      <w:pPr>
        <w:spacing w:after="120"/>
        <w:ind w:left="900" w:hanging="540"/>
        <w:rPr>
          <w:rFonts w:ascii="Garamond" w:eastAsia="Calibri" w:hAnsi="Garamond" w:cs="Times New Roman"/>
          <w:sz w:val="26"/>
          <w:szCs w:val="26"/>
          <w:lang w:val="en-US"/>
        </w:rPr>
      </w:pPr>
      <w:r w:rsidRPr="006F602C">
        <w:rPr>
          <w:rFonts w:ascii="Garamond" w:eastAsia="Calibri" w:hAnsi="Garamond" w:cs="Times New Roman"/>
          <w:sz w:val="26"/>
          <w:szCs w:val="26"/>
          <w:u w:val="single"/>
          <w:lang w:val="en-US"/>
        </w:rPr>
        <w:t>Legal</w:t>
      </w:r>
      <w:r w:rsidRPr="006F602C">
        <w:rPr>
          <w:rFonts w:ascii="Garamond" w:eastAsia="Calibri" w:hAnsi="Garamond" w:cs="Times New Roman"/>
          <w:sz w:val="26"/>
          <w:szCs w:val="26"/>
          <w:lang w:val="en-US"/>
        </w:rPr>
        <w:t xml:space="preserve">: Trish Rogers at Moye White; </w:t>
      </w:r>
    </w:p>
    <w:p w:rsidR="006F602C" w:rsidRPr="006F602C" w:rsidRDefault="006F602C" w:rsidP="00FC0070">
      <w:pPr>
        <w:spacing w:after="120"/>
        <w:ind w:left="900" w:hanging="540"/>
        <w:rPr>
          <w:rFonts w:ascii="Garamond" w:hAnsi="Garamond"/>
          <w:sz w:val="26"/>
          <w:szCs w:val="26"/>
          <w:lang w:val="en-US"/>
        </w:rPr>
      </w:pPr>
      <w:r w:rsidRPr="006F602C">
        <w:rPr>
          <w:rFonts w:ascii="Garamond" w:eastAsia="Calibri" w:hAnsi="Garamond" w:cs="Times New Roman"/>
          <w:sz w:val="26"/>
          <w:szCs w:val="26"/>
          <w:u w:val="single"/>
          <w:lang w:val="en-US"/>
        </w:rPr>
        <w:t>Engineering</w:t>
      </w:r>
      <w:r w:rsidRPr="006F602C">
        <w:rPr>
          <w:rFonts w:ascii="Garamond" w:eastAsia="Calibri" w:hAnsi="Garamond" w:cs="Times New Roman"/>
          <w:sz w:val="26"/>
          <w:szCs w:val="26"/>
          <w:lang w:val="en-US"/>
        </w:rPr>
        <w:t>: the Dynaflow Corporation, Algae Lab Systems, the Center for Process Analysis and Control (Seattle, WA).</w:t>
      </w:r>
    </w:p>
    <w:p w:rsidR="006F602C" w:rsidRDefault="006F602C" w:rsidP="00207D89">
      <w:pPr>
        <w:spacing w:after="120"/>
        <w:ind w:left="360"/>
        <w:rPr>
          <w:rFonts w:ascii="Garamond" w:hAnsi="Garamond"/>
          <w:sz w:val="26"/>
          <w:szCs w:val="26"/>
          <w:lang w:val="en-US"/>
        </w:rPr>
      </w:pPr>
    </w:p>
    <w:p w:rsidR="009043E7" w:rsidRPr="00C972BA" w:rsidRDefault="00B1556F" w:rsidP="009043E7">
      <w:pPr>
        <w:pStyle w:val="Heading2"/>
        <w:rPr>
          <w:b/>
          <w:color w:val="149346"/>
          <w:lang w:val="en-US"/>
        </w:rPr>
      </w:pPr>
      <w:bookmarkStart w:id="17" w:name="_Toc403474332"/>
      <w:r>
        <w:rPr>
          <w:b/>
          <w:color w:val="149346"/>
          <w:lang w:val="en-US"/>
        </w:rPr>
        <w:t>B</w:t>
      </w:r>
      <w:r w:rsidR="009043E7" w:rsidRPr="00034C1B">
        <w:rPr>
          <w:b/>
          <w:color w:val="149346"/>
          <w:lang w:val="en-US"/>
        </w:rPr>
        <w:t xml:space="preserve"> </w:t>
      </w:r>
      <w:r w:rsidR="009043E7">
        <w:rPr>
          <w:b/>
          <w:color w:val="149346"/>
          <w:lang w:val="en-US"/>
        </w:rPr>
        <w:t>–</w:t>
      </w:r>
      <w:r w:rsidR="009043E7" w:rsidRPr="00034C1B">
        <w:rPr>
          <w:b/>
          <w:color w:val="149346"/>
          <w:lang w:val="en-US"/>
        </w:rPr>
        <w:t xml:space="preserve"> </w:t>
      </w:r>
      <w:r w:rsidR="002E650C">
        <w:rPr>
          <w:b/>
          <w:color w:val="149346"/>
          <w:lang w:val="en-US"/>
        </w:rPr>
        <w:t>Source and use of funds</w:t>
      </w:r>
      <w:bookmarkEnd w:id="17"/>
    </w:p>
    <w:p w:rsidR="00B1556F" w:rsidRDefault="00B1556F" w:rsidP="00E6602F">
      <w:pPr>
        <w:spacing w:after="0"/>
        <w:ind w:left="360"/>
        <w:rPr>
          <w:rFonts w:ascii="Garamond" w:hAnsi="Garamond"/>
          <w:sz w:val="26"/>
          <w:szCs w:val="26"/>
          <w:u w:val="single"/>
          <w:lang w:val="en-US"/>
        </w:rPr>
      </w:pPr>
    </w:p>
    <w:p w:rsidR="00C8069E" w:rsidRDefault="00380079" w:rsidP="00833C3E">
      <w:pPr>
        <w:spacing w:after="0"/>
        <w:ind w:left="360"/>
        <w:rPr>
          <w:rFonts w:ascii="Garamond" w:hAnsi="Garamond"/>
          <w:sz w:val="26"/>
          <w:szCs w:val="26"/>
          <w:lang w:val="en-US"/>
        </w:rPr>
      </w:pPr>
      <w:r>
        <w:rPr>
          <w:rFonts w:ascii="Garamond" w:hAnsi="Garamond"/>
          <w:sz w:val="26"/>
          <w:szCs w:val="26"/>
          <w:lang w:val="en-US"/>
        </w:rPr>
        <w:t xml:space="preserve">PIARCS is </w:t>
      </w:r>
      <w:r w:rsidR="000F6D8E">
        <w:rPr>
          <w:rFonts w:ascii="Garamond" w:hAnsi="Garamond"/>
          <w:sz w:val="26"/>
          <w:szCs w:val="26"/>
          <w:lang w:val="en-US"/>
        </w:rPr>
        <w:t>currently seeking the</w:t>
      </w:r>
      <w:r>
        <w:rPr>
          <w:rFonts w:ascii="Garamond" w:hAnsi="Garamond"/>
          <w:sz w:val="26"/>
          <w:szCs w:val="26"/>
          <w:lang w:val="en-US"/>
        </w:rPr>
        <w:t xml:space="preserve"> seed</w:t>
      </w:r>
      <w:r w:rsidR="00806CE9" w:rsidRPr="00833C3E">
        <w:rPr>
          <w:rFonts w:ascii="Garamond" w:hAnsi="Garamond"/>
          <w:sz w:val="26"/>
          <w:szCs w:val="26"/>
          <w:lang w:val="en-US"/>
        </w:rPr>
        <w:t xml:space="preserve"> investment of </w:t>
      </w:r>
      <w:r>
        <w:rPr>
          <w:rFonts w:ascii="Garamond" w:hAnsi="Garamond"/>
          <w:sz w:val="26"/>
          <w:szCs w:val="26"/>
          <w:lang w:val="en-US"/>
        </w:rPr>
        <w:t xml:space="preserve">$ </w:t>
      </w:r>
      <w:r w:rsidR="00713377">
        <w:rPr>
          <w:rFonts w:ascii="Garamond" w:hAnsi="Garamond"/>
          <w:sz w:val="26"/>
          <w:szCs w:val="26"/>
          <w:lang w:val="en-US"/>
        </w:rPr>
        <w:t>5</w:t>
      </w:r>
      <w:r w:rsidR="001662B7">
        <w:rPr>
          <w:rFonts w:ascii="Garamond" w:hAnsi="Garamond"/>
          <w:sz w:val="26"/>
          <w:szCs w:val="26"/>
          <w:lang w:val="en-US"/>
        </w:rPr>
        <w:t>0</w:t>
      </w:r>
      <w:r>
        <w:rPr>
          <w:rFonts w:ascii="Garamond" w:hAnsi="Garamond"/>
          <w:sz w:val="26"/>
          <w:szCs w:val="26"/>
          <w:lang w:val="en-US"/>
        </w:rPr>
        <w:t>0,000 to carry out PIARCS’ critical R&amp;D milestones and patent</w:t>
      </w:r>
      <w:r w:rsidR="008E78EE">
        <w:rPr>
          <w:rFonts w:ascii="Garamond" w:hAnsi="Garamond"/>
          <w:sz w:val="26"/>
          <w:szCs w:val="26"/>
          <w:lang w:val="en-US"/>
        </w:rPr>
        <w:t xml:space="preserve"> the results</w:t>
      </w:r>
      <w:r w:rsidR="00713377">
        <w:rPr>
          <w:rFonts w:ascii="Garamond" w:hAnsi="Garamond"/>
          <w:sz w:val="26"/>
          <w:szCs w:val="26"/>
          <w:lang w:val="en-US"/>
        </w:rPr>
        <w:t xml:space="preserve"> (6-9</w:t>
      </w:r>
      <w:r w:rsidR="000F6D8E">
        <w:rPr>
          <w:rFonts w:ascii="Garamond" w:hAnsi="Garamond"/>
          <w:sz w:val="26"/>
          <w:szCs w:val="26"/>
          <w:lang w:val="en-US"/>
        </w:rPr>
        <w:t xml:space="preserve"> months)</w:t>
      </w:r>
      <w:r w:rsidR="008E78EE">
        <w:rPr>
          <w:rFonts w:ascii="Garamond" w:hAnsi="Garamond"/>
          <w:sz w:val="26"/>
          <w:szCs w:val="26"/>
          <w:lang w:val="en-US"/>
        </w:rPr>
        <w:t xml:space="preserve">.  </w:t>
      </w:r>
      <w:r w:rsidR="00482152">
        <w:rPr>
          <w:rFonts w:ascii="Garamond" w:hAnsi="Garamond"/>
          <w:sz w:val="26"/>
          <w:szCs w:val="26"/>
          <w:lang w:val="en-US"/>
        </w:rPr>
        <w:t xml:space="preserve">The </w:t>
      </w:r>
      <w:r w:rsidR="003705DD">
        <w:rPr>
          <w:rFonts w:ascii="Garamond" w:hAnsi="Garamond"/>
          <w:sz w:val="26"/>
          <w:szCs w:val="26"/>
          <w:lang w:val="en-US"/>
        </w:rPr>
        <w:t>breakdown is: $2</w:t>
      </w:r>
      <w:r w:rsidR="00713377">
        <w:rPr>
          <w:rFonts w:ascii="Garamond" w:hAnsi="Garamond"/>
          <w:sz w:val="26"/>
          <w:szCs w:val="26"/>
          <w:lang w:val="en-US"/>
        </w:rPr>
        <w:t>0</w:t>
      </w:r>
      <w:r w:rsidR="00482152">
        <w:rPr>
          <w:rFonts w:ascii="Garamond" w:hAnsi="Garamond"/>
          <w:sz w:val="26"/>
          <w:szCs w:val="26"/>
          <w:lang w:val="en-US"/>
        </w:rPr>
        <w:t>8</w:t>
      </w:r>
      <w:r w:rsidR="005B0698">
        <w:rPr>
          <w:rFonts w:ascii="Garamond" w:hAnsi="Garamond"/>
          <w:sz w:val="26"/>
          <w:szCs w:val="26"/>
          <w:lang w:val="en-US"/>
        </w:rPr>
        <w:t>,000 for the fixed assets, $</w:t>
      </w:r>
      <w:r w:rsidR="00713377">
        <w:rPr>
          <w:rFonts w:ascii="Garamond" w:hAnsi="Garamond"/>
          <w:sz w:val="26"/>
          <w:szCs w:val="26"/>
          <w:lang w:val="en-US"/>
        </w:rPr>
        <w:t>197,000 operating expenses, $95</w:t>
      </w:r>
      <w:r w:rsidR="00482152">
        <w:rPr>
          <w:rFonts w:ascii="Garamond" w:hAnsi="Garamond"/>
          <w:sz w:val="26"/>
          <w:szCs w:val="26"/>
          <w:lang w:val="en-US"/>
        </w:rPr>
        <w:t>,000 legal/a</w:t>
      </w:r>
      <w:r w:rsidR="00EE7439">
        <w:rPr>
          <w:rFonts w:ascii="Garamond" w:hAnsi="Garamond"/>
          <w:sz w:val="26"/>
          <w:szCs w:val="26"/>
          <w:lang w:val="en-US"/>
        </w:rPr>
        <w:t>ccounting expenses</w:t>
      </w:r>
      <w:r w:rsidR="00482152">
        <w:rPr>
          <w:rFonts w:ascii="Garamond" w:hAnsi="Garamond"/>
          <w:sz w:val="26"/>
          <w:szCs w:val="26"/>
          <w:lang w:val="en-US"/>
        </w:rPr>
        <w:t xml:space="preserve">.  </w:t>
      </w:r>
      <w:r w:rsidR="008E78EE" w:rsidRPr="00833C3E">
        <w:rPr>
          <w:rFonts w:ascii="Garamond" w:hAnsi="Garamond"/>
          <w:sz w:val="26"/>
          <w:szCs w:val="26"/>
          <w:lang w:val="en-US"/>
        </w:rPr>
        <w:t xml:space="preserve">The key licenses resulting from the R&amp;D will provide the main revenue stream for PIARCS, which is expected to be self-sustaining within </w:t>
      </w:r>
      <w:r w:rsidR="001662B7">
        <w:rPr>
          <w:rFonts w:ascii="Garamond" w:hAnsi="Garamond"/>
          <w:sz w:val="26"/>
          <w:szCs w:val="26"/>
          <w:lang w:val="en-US"/>
        </w:rPr>
        <w:t>four to five</w:t>
      </w:r>
      <w:r w:rsidR="00C8069E">
        <w:rPr>
          <w:rFonts w:ascii="Garamond" w:hAnsi="Garamond"/>
          <w:sz w:val="26"/>
          <w:szCs w:val="26"/>
          <w:lang w:val="en-US"/>
        </w:rPr>
        <w:t xml:space="preserve"> years (see Section 1-F)</w:t>
      </w:r>
    </w:p>
    <w:p w:rsidR="005334FD" w:rsidRDefault="005334FD" w:rsidP="00833C3E">
      <w:pPr>
        <w:spacing w:after="0"/>
        <w:ind w:left="360"/>
        <w:rPr>
          <w:rFonts w:ascii="Garamond" w:hAnsi="Garamond"/>
          <w:sz w:val="26"/>
          <w:szCs w:val="26"/>
          <w:lang w:val="en-US"/>
        </w:rPr>
      </w:pPr>
    </w:p>
    <w:p w:rsidR="005334FD" w:rsidRPr="005334FD" w:rsidRDefault="005334FD" w:rsidP="005334FD">
      <w:pPr>
        <w:spacing w:after="0"/>
        <w:ind w:left="360"/>
        <w:rPr>
          <w:rFonts w:ascii="Garamond" w:hAnsi="Garamond"/>
          <w:sz w:val="26"/>
          <w:szCs w:val="26"/>
          <w:lang w:val="en-US"/>
        </w:rPr>
      </w:pPr>
      <w:r w:rsidRPr="005334FD">
        <w:rPr>
          <w:rFonts w:ascii="Garamond" w:hAnsi="Garamond"/>
          <w:sz w:val="26"/>
          <w:szCs w:val="26"/>
          <w:lang w:val="en-US"/>
        </w:rPr>
        <w:t>A preliminary phase investment of at least $ 300,000 was provided by PIARCS’ founder and host laboratories as the following:</w:t>
      </w:r>
    </w:p>
    <w:p w:rsidR="005334FD" w:rsidRPr="005334FD" w:rsidRDefault="005334FD" w:rsidP="005334FD">
      <w:pPr>
        <w:numPr>
          <w:ilvl w:val="0"/>
          <w:numId w:val="1"/>
        </w:numPr>
        <w:spacing w:after="0"/>
        <w:contextualSpacing/>
        <w:rPr>
          <w:rFonts w:ascii="Garamond" w:hAnsi="Garamond"/>
          <w:sz w:val="26"/>
          <w:szCs w:val="26"/>
          <w:lang w:val="en-US"/>
        </w:rPr>
      </w:pPr>
      <w:r w:rsidRPr="005334FD">
        <w:rPr>
          <w:rFonts w:ascii="Garamond" w:hAnsi="Garamond"/>
          <w:sz w:val="26"/>
          <w:szCs w:val="26"/>
          <w:lang w:val="en-US"/>
        </w:rPr>
        <w:t>3 years of personally funded research: $ 150,000 deferred salary</w:t>
      </w:r>
    </w:p>
    <w:p w:rsidR="005334FD" w:rsidRPr="005334FD" w:rsidRDefault="005334FD" w:rsidP="005334FD">
      <w:pPr>
        <w:numPr>
          <w:ilvl w:val="0"/>
          <w:numId w:val="1"/>
        </w:numPr>
        <w:spacing w:after="0"/>
        <w:contextualSpacing/>
        <w:rPr>
          <w:rFonts w:ascii="Garamond" w:hAnsi="Garamond"/>
          <w:sz w:val="26"/>
          <w:szCs w:val="26"/>
          <w:lang w:val="en-US"/>
        </w:rPr>
      </w:pPr>
      <w:r w:rsidRPr="005334FD">
        <w:rPr>
          <w:rFonts w:ascii="Garamond" w:hAnsi="Garamond"/>
          <w:sz w:val="26"/>
          <w:szCs w:val="26"/>
          <w:lang w:val="en-US"/>
        </w:rPr>
        <w:t>Infrastructure provided by host laboratories over this period: $ 90,000</w:t>
      </w:r>
    </w:p>
    <w:p w:rsidR="005334FD" w:rsidRPr="005334FD" w:rsidRDefault="005334FD" w:rsidP="005334FD">
      <w:pPr>
        <w:numPr>
          <w:ilvl w:val="0"/>
          <w:numId w:val="1"/>
        </w:numPr>
        <w:spacing w:after="0"/>
        <w:contextualSpacing/>
        <w:rPr>
          <w:rFonts w:ascii="Garamond" w:hAnsi="Garamond"/>
          <w:sz w:val="26"/>
          <w:szCs w:val="26"/>
          <w:lang w:val="en-US"/>
        </w:rPr>
      </w:pPr>
      <w:r w:rsidRPr="005334FD">
        <w:rPr>
          <w:rFonts w:ascii="Garamond" w:hAnsi="Garamond"/>
          <w:sz w:val="26"/>
          <w:szCs w:val="26"/>
          <w:lang w:val="en-US"/>
        </w:rPr>
        <w:t xml:space="preserve">Legal fees: ~ $ 40,000 (SeedIP abandoned patent, Klarquist provisional patent, and Marsh Fischman Breyfogle PCT in progress) </w:t>
      </w:r>
    </w:p>
    <w:p w:rsidR="005334FD" w:rsidRPr="005334FD" w:rsidRDefault="005334FD" w:rsidP="005334FD">
      <w:pPr>
        <w:numPr>
          <w:ilvl w:val="0"/>
          <w:numId w:val="1"/>
        </w:numPr>
        <w:spacing w:after="0"/>
        <w:contextualSpacing/>
        <w:rPr>
          <w:rFonts w:ascii="Garamond" w:hAnsi="Garamond"/>
          <w:sz w:val="26"/>
          <w:szCs w:val="26"/>
          <w:lang w:val="en-US"/>
        </w:rPr>
      </w:pPr>
      <w:r w:rsidRPr="005334FD">
        <w:rPr>
          <w:rFonts w:ascii="Garamond" w:hAnsi="Garamond"/>
          <w:sz w:val="26"/>
          <w:szCs w:val="26"/>
          <w:lang w:val="en-US"/>
        </w:rPr>
        <w:t>Lab supplies $ 10,000</w:t>
      </w:r>
    </w:p>
    <w:p w:rsidR="005334FD" w:rsidRPr="005334FD" w:rsidRDefault="005334FD" w:rsidP="005334FD">
      <w:pPr>
        <w:numPr>
          <w:ilvl w:val="0"/>
          <w:numId w:val="1"/>
        </w:numPr>
        <w:spacing w:after="0"/>
        <w:contextualSpacing/>
        <w:rPr>
          <w:rFonts w:ascii="Garamond" w:hAnsi="Garamond"/>
          <w:sz w:val="26"/>
          <w:szCs w:val="26"/>
          <w:lang w:val="en-US"/>
        </w:rPr>
      </w:pPr>
      <w:r w:rsidRPr="005334FD">
        <w:rPr>
          <w:rFonts w:ascii="Garamond" w:hAnsi="Garamond"/>
          <w:sz w:val="26"/>
          <w:szCs w:val="26"/>
          <w:lang w:val="en-US"/>
        </w:rPr>
        <w:t>Travel expenses, conference: $ 10,000</w:t>
      </w:r>
    </w:p>
    <w:p w:rsidR="00C8069E" w:rsidRDefault="00C8069E" w:rsidP="00833C3E">
      <w:pPr>
        <w:spacing w:after="0"/>
        <w:ind w:left="360"/>
        <w:rPr>
          <w:rFonts w:ascii="Garamond" w:hAnsi="Garamond"/>
          <w:sz w:val="26"/>
          <w:szCs w:val="26"/>
          <w:lang w:val="en-US"/>
        </w:rPr>
      </w:pPr>
    </w:p>
    <w:p w:rsidR="00C8069E" w:rsidRDefault="00E7159D" w:rsidP="00833C3E">
      <w:pPr>
        <w:spacing w:after="0"/>
        <w:ind w:left="360"/>
        <w:rPr>
          <w:rFonts w:ascii="Garamond" w:hAnsi="Garamond"/>
          <w:sz w:val="26"/>
          <w:szCs w:val="26"/>
          <w:lang w:val="en-US"/>
        </w:rPr>
      </w:pPr>
      <w:r>
        <w:rPr>
          <w:noProof/>
          <w:lang w:val="en-US"/>
        </w:rPr>
        <w:drawing>
          <wp:inline distT="0" distB="0" distL="0" distR="0" wp14:anchorId="12B11188" wp14:editId="76C3B57E">
            <wp:extent cx="4389120" cy="2834640"/>
            <wp:effectExtent l="0" t="0" r="11430" b="381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80079" w:rsidRDefault="00416890" w:rsidP="00833C3E">
      <w:pPr>
        <w:spacing w:after="0"/>
        <w:ind w:left="360"/>
        <w:rPr>
          <w:rFonts w:ascii="Garamond" w:hAnsi="Garamond"/>
          <w:sz w:val="26"/>
          <w:szCs w:val="26"/>
          <w:lang w:val="en-US"/>
        </w:rPr>
      </w:pPr>
      <w:r w:rsidRPr="00416890">
        <w:rPr>
          <w:rFonts w:ascii="Garamond" w:hAnsi="Garamond"/>
          <w:b/>
          <w:sz w:val="26"/>
          <w:szCs w:val="26"/>
          <w:lang w:val="en-US"/>
        </w:rPr>
        <w:t>Figure 5</w:t>
      </w:r>
      <w:r>
        <w:rPr>
          <w:rFonts w:ascii="Garamond" w:hAnsi="Garamond"/>
          <w:sz w:val="26"/>
          <w:szCs w:val="26"/>
          <w:lang w:val="en-US"/>
        </w:rPr>
        <w:t>. Use of the seed investment (see Tables 2 and 3 below for more detail)</w:t>
      </w:r>
    </w:p>
    <w:p w:rsidR="005334FD" w:rsidRPr="00BD6FC5" w:rsidRDefault="005334FD" w:rsidP="0060617A">
      <w:pPr>
        <w:pStyle w:val="ListParagraph"/>
        <w:spacing w:after="0"/>
        <w:rPr>
          <w:rFonts w:ascii="Garamond" w:hAnsi="Garamond"/>
          <w:sz w:val="12"/>
          <w:szCs w:val="12"/>
          <w:lang w:val="en-US"/>
        </w:rPr>
      </w:pPr>
    </w:p>
    <w:p w:rsidR="00BD6FC5" w:rsidRPr="0060617A" w:rsidRDefault="00BD6FC5" w:rsidP="0060617A">
      <w:pPr>
        <w:pStyle w:val="ListParagraph"/>
        <w:spacing w:after="0"/>
        <w:rPr>
          <w:rFonts w:ascii="Garamond" w:hAnsi="Garamond"/>
          <w:sz w:val="26"/>
          <w:szCs w:val="26"/>
          <w:lang w:val="en-US"/>
        </w:rPr>
      </w:pPr>
    </w:p>
    <w:tbl>
      <w:tblPr>
        <w:tblStyle w:val="TableGrid"/>
        <w:tblW w:w="0" w:type="auto"/>
        <w:tblLook w:val="04A0" w:firstRow="1" w:lastRow="0" w:firstColumn="1" w:lastColumn="0" w:noHBand="0" w:noVBand="1"/>
      </w:tblPr>
      <w:tblGrid>
        <w:gridCol w:w="4321"/>
        <w:gridCol w:w="2472"/>
      </w:tblGrid>
      <w:tr w:rsidR="00833C3E" w:rsidRPr="00833C3E" w:rsidTr="00DD6D7E">
        <w:tc>
          <w:tcPr>
            <w:tcW w:w="0" w:type="auto"/>
            <w:vAlign w:val="bottom"/>
          </w:tcPr>
          <w:p w:rsidR="00833C3E" w:rsidRPr="00BD6FC5" w:rsidRDefault="00711AE6" w:rsidP="00833C3E">
            <w:pPr>
              <w:ind w:left="360"/>
              <w:rPr>
                <w:rFonts w:ascii="Garamond" w:hAnsi="Garamond"/>
                <w:color w:val="000000"/>
                <w:sz w:val="24"/>
                <w:szCs w:val="24"/>
                <w:lang w:val="en-US"/>
              </w:rPr>
            </w:pPr>
            <w:r w:rsidRPr="00BD6FC5">
              <w:rPr>
                <w:rFonts w:ascii="Garamond" w:hAnsi="Garamond"/>
                <w:color w:val="000000"/>
                <w:sz w:val="24"/>
                <w:szCs w:val="24"/>
                <w:lang w:val="en-US"/>
              </w:rPr>
              <w:t>Equipment (based on June 2014 quotes)</w:t>
            </w:r>
          </w:p>
        </w:tc>
        <w:tc>
          <w:tcPr>
            <w:tcW w:w="0" w:type="auto"/>
            <w:vAlign w:val="bottom"/>
          </w:tcPr>
          <w:p w:rsidR="00833C3E" w:rsidRPr="00BD6FC5" w:rsidRDefault="00833C3E" w:rsidP="00711AE6">
            <w:pPr>
              <w:ind w:left="360"/>
              <w:jc w:val="center"/>
              <w:rPr>
                <w:rFonts w:ascii="Garamond" w:hAnsi="Garamond"/>
                <w:color w:val="000000"/>
                <w:sz w:val="24"/>
                <w:szCs w:val="24"/>
                <w:lang w:val="en-US"/>
              </w:rPr>
            </w:pPr>
            <w:r w:rsidRPr="00BD6FC5">
              <w:rPr>
                <w:rFonts w:ascii="Garamond" w:hAnsi="Garamond"/>
                <w:color w:val="000000"/>
                <w:sz w:val="24"/>
                <w:szCs w:val="24"/>
                <w:lang w:val="en-US"/>
              </w:rPr>
              <w:t xml:space="preserve"> </w:t>
            </w:r>
            <w:r w:rsidRPr="00BD6FC5">
              <w:rPr>
                <w:rFonts w:ascii="Garamond" w:hAnsi="Garamond"/>
                <w:color w:val="000000"/>
                <w:sz w:val="24"/>
                <w:szCs w:val="24"/>
              </w:rPr>
              <w:t xml:space="preserve">$              </w:t>
            </w:r>
            <w:r w:rsidR="00711AE6" w:rsidRPr="00BD6FC5">
              <w:rPr>
                <w:rFonts w:ascii="Garamond" w:hAnsi="Garamond"/>
                <w:color w:val="000000"/>
                <w:sz w:val="24"/>
                <w:szCs w:val="24"/>
              </w:rPr>
              <w:t>103</w:t>
            </w:r>
            <w:r w:rsidRPr="00BD6FC5">
              <w:rPr>
                <w:rFonts w:ascii="Garamond" w:hAnsi="Garamond"/>
                <w:color w:val="000000"/>
                <w:sz w:val="24"/>
                <w:szCs w:val="24"/>
              </w:rPr>
              <w:t xml:space="preserve">,000 </w:t>
            </w:r>
          </w:p>
        </w:tc>
      </w:tr>
      <w:tr w:rsidR="00E66781" w:rsidRPr="00833C3E" w:rsidTr="00713377">
        <w:tc>
          <w:tcPr>
            <w:tcW w:w="0" w:type="auto"/>
            <w:vAlign w:val="bottom"/>
          </w:tcPr>
          <w:p w:rsidR="00E66781" w:rsidRPr="00BD6FC5" w:rsidRDefault="00E66781" w:rsidP="00E66781">
            <w:pPr>
              <w:ind w:left="360"/>
              <w:rPr>
                <w:rFonts w:ascii="Garamond" w:hAnsi="Garamond"/>
                <w:color w:val="000000"/>
                <w:sz w:val="24"/>
                <w:szCs w:val="24"/>
              </w:rPr>
            </w:pPr>
            <w:r w:rsidRPr="00BD6FC5">
              <w:rPr>
                <w:rFonts w:ascii="Garamond" w:hAnsi="Garamond"/>
                <w:color w:val="000000"/>
                <w:sz w:val="24"/>
                <w:szCs w:val="24"/>
              </w:rPr>
              <w:t>Strains, glassware</w:t>
            </w:r>
          </w:p>
        </w:tc>
        <w:tc>
          <w:tcPr>
            <w:tcW w:w="2472" w:type="dxa"/>
            <w:vAlign w:val="bottom"/>
          </w:tcPr>
          <w:p w:rsidR="00E66781" w:rsidRPr="00BD6FC5" w:rsidRDefault="00E66781" w:rsidP="00E66781">
            <w:pPr>
              <w:ind w:left="360"/>
              <w:jc w:val="center"/>
              <w:rPr>
                <w:rFonts w:ascii="Garamond" w:hAnsi="Garamond"/>
                <w:color w:val="000000"/>
                <w:sz w:val="24"/>
                <w:szCs w:val="24"/>
              </w:rPr>
            </w:pPr>
            <w:r w:rsidRPr="00BD6FC5">
              <w:rPr>
                <w:rFonts w:ascii="Garamond" w:hAnsi="Garamond"/>
                <w:color w:val="000000"/>
                <w:sz w:val="24"/>
                <w:szCs w:val="24"/>
              </w:rPr>
              <w:t xml:space="preserve"> $                10,000 </w:t>
            </w:r>
          </w:p>
        </w:tc>
      </w:tr>
      <w:tr w:rsidR="00833C3E" w:rsidRPr="00833C3E" w:rsidTr="00713377">
        <w:tc>
          <w:tcPr>
            <w:tcW w:w="0" w:type="auto"/>
            <w:vAlign w:val="bottom"/>
          </w:tcPr>
          <w:p w:rsidR="00833C3E" w:rsidRPr="00BD6FC5" w:rsidRDefault="00711AE6" w:rsidP="00833C3E">
            <w:pPr>
              <w:ind w:left="360"/>
              <w:rPr>
                <w:rFonts w:ascii="Garamond" w:hAnsi="Garamond"/>
                <w:color w:val="000000"/>
                <w:sz w:val="24"/>
                <w:szCs w:val="24"/>
              </w:rPr>
            </w:pPr>
            <w:r w:rsidRPr="00BD6FC5">
              <w:rPr>
                <w:rFonts w:ascii="Garamond" w:hAnsi="Garamond"/>
                <w:color w:val="000000"/>
                <w:sz w:val="24"/>
                <w:szCs w:val="24"/>
              </w:rPr>
              <w:t>Custom algal bioreactor</w:t>
            </w:r>
          </w:p>
        </w:tc>
        <w:tc>
          <w:tcPr>
            <w:tcW w:w="2472" w:type="dxa"/>
            <w:vAlign w:val="bottom"/>
          </w:tcPr>
          <w:p w:rsidR="00833C3E" w:rsidRPr="00BD6FC5" w:rsidRDefault="00833C3E" w:rsidP="00711AE6">
            <w:pPr>
              <w:ind w:left="360"/>
              <w:jc w:val="center"/>
              <w:rPr>
                <w:rFonts w:ascii="Garamond" w:hAnsi="Garamond"/>
                <w:color w:val="000000"/>
                <w:sz w:val="24"/>
                <w:szCs w:val="24"/>
              </w:rPr>
            </w:pPr>
            <w:r w:rsidRPr="00BD6FC5">
              <w:rPr>
                <w:rFonts w:ascii="Garamond" w:hAnsi="Garamond"/>
                <w:color w:val="000000"/>
                <w:sz w:val="24"/>
                <w:szCs w:val="24"/>
              </w:rPr>
              <w:t xml:space="preserve"> $              </w:t>
            </w:r>
            <w:r w:rsidR="00711AE6" w:rsidRPr="00BD6FC5">
              <w:rPr>
                <w:rFonts w:ascii="Garamond" w:hAnsi="Garamond"/>
                <w:color w:val="000000"/>
                <w:sz w:val="24"/>
                <w:szCs w:val="24"/>
              </w:rPr>
              <w:t xml:space="preserve">  95</w:t>
            </w:r>
            <w:r w:rsidRPr="00BD6FC5">
              <w:rPr>
                <w:rFonts w:ascii="Garamond" w:hAnsi="Garamond"/>
                <w:color w:val="000000"/>
                <w:sz w:val="24"/>
                <w:szCs w:val="24"/>
              </w:rPr>
              <w:t xml:space="preserve">,000 </w:t>
            </w:r>
          </w:p>
        </w:tc>
      </w:tr>
      <w:tr w:rsidR="008E78EE" w:rsidRPr="00833C3E" w:rsidTr="00DD6D7E">
        <w:tc>
          <w:tcPr>
            <w:tcW w:w="0" w:type="auto"/>
            <w:vAlign w:val="bottom"/>
          </w:tcPr>
          <w:p w:rsidR="008E78EE" w:rsidRPr="00BD6FC5" w:rsidRDefault="008E78EE" w:rsidP="008E78EE">
            <w:pPr>
              <w:ind w:left="360"/>
              <w:rPr>
                <w:rFonts w:ascii="Garamond" w:hAnsi="Garamond"/>
                <w:b/>
                <w:color w:val="000000"/>
                <w:sz w:val="24"/>
                <w:szCs w:val="24"/>
              </w:rPr>
            </w:pPr>
            <w:r w:rsidRPr="00BD6FC5">
              <w:rPr>
                <w:rFonts w:ascii="Garamond" w:hAnsi="Garamond"/>
                <w:b/>
                <w:color w:val="000000"/>
                <w:sz w:val="24"/>
                <w:szCs w:val="24"/>
              </w:rPr>
              <w:t>Total</w:t>
            </w:r>
          </w:p>
        </w:tc>
        <w:tc>
          <w:tcPr>
            <w:tcW w:w="0" w:type="auto"/>
            <w:vAlign w:val="bottom"/>
          </w:tcPr>
          <w:p w:rsidR="008E78EE" w:rsidRPr="00BD6FC5" w:rsidRDefault="008E78EE" w:rsidP="00713377">
            <w:pPr>
              <w:ind w:left="360"/>
              <w:jc w:val="center"/>
              <w:rPr>
                <w:rFonts w:ascii="Garamond" w:hAnsi="Garamond"/>
                <w:b/>
                <w:color w:val="000000"/>
                <w:sz w:val="24"/>
                <w:szCs w:val="24"/>
              </w:rPr>
            </w:pPr>
            <w:r w:rsidRPr="00BD6FC5">
              <w:rPr>
                <w:rFonts w:ascii="Garamond" w:hAnsi="Garamond"/>
                <w:b/>
                <w:color w:val="000000"/>
                <w:sz w:val="24"/>
                <w:szCs w:val="24"/>
              </w:rPr>
              <w:t xml:space="preserve"> $              </w:t>
            </w:r>
            <w:r w:rsidR="00711AE6" w:rsidRPr="00BD6FC5">
              <w:rPr>
                <w:rFonts w:ascii="Garamond" w:hAnsi="Garamond"/>
                <w:b/>
                <w:color w:val="000000"/>
                <w:sz w:val="24"/>
                <w:szCs w:val="24"/>
              </w:rPr>
              <w:t>2</w:t>
            </w:r>
            <w:r w:rsidR="00713377" w:rsidRPr="00BD6FC5">
              <w:rPr>
                <w:rFonts w:ascii="Garamond" w:hAnsi="Garamond"/>
                <w:b/>
                <w:color w:val="000000"/>
                <w:sz w:val="24"/>
                <w:szCs w:val="24"/>
              </w:rPr>
              <w:t>0</w:t>
            </w:r>
            <w:r w:rsidR="00711AE6" w:rsidRPr="00BD6FC5">
              <w:rPr>
                <w:rFonts w:ascii="Garamond" w:hAnsi="Garamond"/>
                <w:b/>
                <w:color w:val="000000"/>
                <w:sz w:val="24"/>
                <w:szCs w:val="24"/>
              </w:rPr>
              <w:t>8</w:t>
            </w:r>
            <w:r w:rsidRPr="00BD6FC5">
              <w:rPr>
                <w:rFonts w:ascii="Garamond" w:hAnsi="Garamond"/>
                <w:b/>
                <w:color w:val="000000"/>
                <w:sz w:val="24"/>
                <w:szCs w:val="24"/>
              </w:rPr>
              <w:t xml:space="preserve">,000 </w:t>
            </w:r>
          </w:p>
        </w:tc>
      </w:tr>
    </w:tbl>
    <w:p w:rsidR="00833C3E" w:rsidRDefault="00833C3E" w:rsidP="00833C3E">
      <w:pPr>
        <w:spacing w:after="0"/>
        <w:ind w:left="360"/>
        <w:rPr>
          <w:rFonts w:ascii="Garamond" w:hAnsi="Garamond"/>
          <w:sz w:val="26"/>
          <w:szCs w:val="26"/>
          <w:lang w:val="en-US"/>
        </w:rPr>
      </w:pPr>
      <w:r w:rsidRPr="00833C3E">
        <w:rPr>
          <w:rFonts w:ascii="Garamond" w:hAnsi="Garamond"/>
          <w:b/>
          <w:sz w:val="26"/>
          <w:szCs w:val="26"/>
          <w:lang w:val="en-US"/>
        </w:rPr>
        <w:t xml:space="preserve">Table </w:t>
      </w:r>
      <w:r w:rsidR="00D538A2">
        <w:rPr>
          <w:rFonts w:ascii="Garamond" w:hAnsi="Garamond"/>
          <w:b/>
          <w:sz w:val="26"/>
          <w:szCs w:val="26"/>
          <w:lang w:val="en-US"/>
        </w:rPr>
        <w:t>2</w:t>
      </w:r>
      <w:r w:rsidRPr="00833C3E">
        <w:rPr>
          <w:rFonts w:ascii="Garamond" w:hAnsi="Garamond"/>
          <w:b/>
          <w:sz w:val="26"/>
          <w:szCs w:val="26"/>
          <w:lang w:val="en-US"/>
        </w:rPr>
        <w:t xml:space="preserve">. </w:t>
      </w:r>
      <w:r w:rsidRPr="00416890">
        <w:rPr>
          <w:rFonts w:ascii="Garamond" w:hAnsi="Garamond"/>
          <w:sz w:val="26"/>
          <w:szCs w:val="26"/>
          <w:lang w:val="en-US"/>
        </w:rPr>
        <w:t>Fixed Asset</w:t>
      </w:r>
      <w:r w:rsidR="00416890" w:rsidRPr="00416890">
        <w:rPr>
          <w:rFonts w:ascii="Garamond" w:hAnsi="Garamond"/>
          <w:sz w:val="26"/>
          <w:szCs w:val="26"/>
          <w:lang w:val="en-US"/>
        </w:rPr>
        <w:t>s</w:t>
      </w:r>
      <w:r w:rsidRPr="00416890">
        <w:rPr>
          <w:rFonts w:ascii="Garamond" w:hAnsi="Garamond"/>
          <w:sz w:val="26"/>
          <w:szCs w:val="26"/>
          <w:lang w:val="en-US"/>
        </w:rPr>
        <w:t xml:space="preserve"> / Startup costs </w:t>
      </w:r>
      <w:r w:rsidR="00416890" w:rsidRPr="00416890">
        <w:rPr>
          <w:rFonts w:ascii="Garamond" w:hAnsi="Garamond"/>
          <w:sz w:val="26"/>
          <w:szCs w:val="26"/>
          <w:lang w:val="en-US"/>
        </w:rPr>
        <w:t>for Year 1</w:t>
      </w:r>
      <w:r w:rsidR="00D3031B">
        <w:rPr>
          <w:rFonts w:ascii="Garamond" w:hAnsi="Garamond"/>
          <w:sz w:val="26"/>
          <w:szCs w:val="26"/>
          <w:lang w:val="en-US"/>
        </w:rPr>
        <w:t xml:space="preserve"> </w:t>
      </w:r>
    </w:p>
    <w:p w:rsidR="00711AE6" w:rsidRPr="00BD6FC5" w:rsidRDefault="00711AE6" w:rsidP="00833C3E">
      <w:pPr>
        <w:spacing w:after="0"/>
        <w:ind w:left="360"/>
        <w:rPr>
          <w:rFonts w:ascii="Garamond" w:hAnsi="Garamond"/>
          <w:sz w:val="12"/>
          <w:szCs w:val="12"/>
          <w:lang w:val="en-US"/>
        </w:rPr>
      </w:pPr>
    </w:p>
    <w:p w:rsidR="00BD6FC5" w:rsidRDefault="00BD6FC5" w:rsidP="00833C3E">
      <w:pPr>
        <w:spacing w:after="0"/>
        <w:ind w:left="360"/>
        <w:rPr>
          <w:rFonts w:ascii="Garamond" w:hAnsi="Garamond"/>
          <w:sz w:val="26"/>
          <w:szCs w:val="26"/>
          <w:lang w:val="en-US"/>
        </w:rPr>
      </w:pPr>
    </w:p>
    <w:tbl>
      <w:tblPr>
        <w:tblStyle w:val="TableGrid"/>
        <w:tblW w:w="0" w:type="auto"/>
        <w:tblLook w:val="04A0" w:firstRow="1" w:lastRow="0" w:firstColumn="1" w:lastColumn="0" w:noHBand="0" w:noVBand="1"/>
      </w:tblPr>
      <w:tblGrid>
        <w:gridCol w:w="3496"/>
        <w:gridCol w:w="2472"/>
      </w:tblGrid>
      <w:tr w:rsidR="00C8069E" w:rsidRPr="00833C3E" w:rsidTr="00D538A2">
        <w:tc>
          <w:tcPr>
            <w:tcW w:w="0" w:type="auto"/>
            <w:vAlign w:val="bottom"/>
          </w:tcPr>
          <w:p w:rsidR="00C8069E" w:rsidRPr="00BD6FC5" w:rsidRDefault="00C8069E" w:rsidP="00C8069E">
            <w:pPr>
              <w:ind w:left="360"/>
              <w:rPr>
                <w:rFonts w:ascii="Garamond" w:hAnsi="Garamond"/>
                <w:color w:val="000000"/>
                <w:sz w:val="24"/>
                <w:szCs w:val="24"/>
                <w:lang w:val="en-US"/>
              </w:rPr>
            </w:pPr>
            <w:r w:rsidRPr="00BD6FC5">
              <w:rPr>
                <w:rFonts w:ascii="Garamond" w:hAnsi="Garamond"/>
                <w:color w:val="000000"/>
                <w:sz w:val="24"/>
                <w:szCs w:val="24"/>
                <w:lang w:val="en-US"/>
              </w:rPr>
              <w:t>Legal fees (patents), accounting</w:t>
            </w:r>
          </w:p>
        </w:tc>
        <w:tc>
          <w:tcPr>
            <w:tcW w:w="0" w:type="auto"/>
            <w:vAlign w:val="bottom"/>
          </w:tcPr>
          <w:p w:rsidR="00C8069E" w:rsidRPr="00BD6FC5" w:rsidRDefault="00C8069E" w:rsidP="00713377">
            <w:pPr>
              <w:ind w:left="360"/>
              <w:jc w:val="right"/>
              <w:rPr>
                <w:rFonts w:ascii="Garamond" w:hAnsi="Garamond"/>
                <w:color w:val="000000"/>
                <w:sz w:val="24"/>
                <w:szCs w:val="24"/>
                <w:lang w:val="en-US"/>
              </w:rPr>
            </w:pPr>
            <w:r w:rsidRPr="00BD6FC5">
              <w:rPr>
                <w:rFonts w:ascii="Garamond" w:hAnsi="Garamond"/>
                <w:color w:val="000000"/>
                <w:sz w:val="24"/>
                <w:szCs w:val="24"/>
                <w:lang w:val="en-US"/>
              </w:rPr>
              <w:t xml:space="preserve"> </w:t>
            </w:r>
            <w:r w:rsidRPr="00BD6FC5">
              <w:rPr>
                <w:rFonts w:ascii="Garamond" w:hAnsi="Garamond"/>
                <w:color w:val="000000"/>
                <w:sz w:val="24"/>
                <w:szCs w:val="24"/>
              </w:rPr>
              <w:t xml:space="preserve">$             </w:t>
            </w:r>
            <w:r w:rsidR="00713377" w:rsidRPr="00BD6FC5">
              <w:rPr>
                <w:rFonts w:ascii="Garamond" w:hAnsi="Garamond"/>
                <w:color w:val="000000"/>
                <w:sz w:val="24"/>
                <w:szCs w:val="24"/>
              </w:rPr>
              <w:t xml:space="preserve">  </w:t>
            </w:r>
            <w:r w:rsidRPr="00BD6FC5">
              <w:rPr>
                <w:rFonts w:ascii="Garamond" w:hAnsi="Garamond"/>
                <w:color w:val="000000"/>
                <w:sz w:val="24"/>
                <w:szCs w:val="24"/>
              </w:rPr>
              <w:t xml:space="preserve"> </w:t>
            </w:r>
            <w:r w:rsidR="00713377" w:rsidRPr="00BD6FC5">
              <w:rPr>
                <w:rFonts w:ascii="Garamond" w:hAnsi="Garamond"/>
                <w:color w:val="000000"/>
                <w:sz w:val="24"/>
                <w:szCs w:val="24"/>
              </w:rPr>
              <w:t>80</w:t>
            </w:r>
            <w:r w:rsidRPr="00BD6FC5">
              <w:rPr>
                <w:rFonts w:ascii="Garamond" w:hAnsi="Garamond"/>
                <w:color w:val="000000"/>
                <w:sz w:val="24"/>
                <w:szCs w:val="24"/>
              </w:rPr>
              <w:t xml:space="preserve">,000 </w:t>
            </w:r>
          </w:p>
        </w:tc>
      </w:tr>
      <w:tr w:rsidR="00C8069E" w:rsidRPr="00833C3E" w:rsidTr="00C8069E">
        <w:tc>
          <w:tcPr>
            <w:tcW w:w="0" w:type="auto"/>
            <w:vAlign w:val="bottom"/>
          </w:tcPr>
          <w:p w:rsidR="00C8069E" w:rsidRPr="00BD6FC5" w:rsidRDefault="00C8069E" w:rsidP="00C8069E">
            <w:pPr>
              <w:ind w:left="360"/>
              <w:rPr>
                <w:rFonts w:ascii="Garamond" w:hAnsi="Garamond"/>
                <w:color w:val="000000"/>
                <w:sz w:val="24"/>
                <w:szCs w:val="24"/>
              </w:rPr>
            </w:pPr>
            <w:r w:rsidRPr="00BD6FC5">
              <w:rPr>
                <w:rFonts w:ascii="Garamond" w:hAnsi="Garamond"/>
                <w:color w:val="000000"/>
                <w:sz w:val="24"/>
                <w:szCs w:val="24"/>
              </w:rPr>
              <w:t>Accounting &amp; Taxes</w:t>
            </w:r>
          </w:p>
        </w:tc>
        <w:tc>
          <w:tcPr>
            <w:tcW w:w="2472" w:type="dxa"/>
            <w:vAlign w:val="bottom"/>
          </w:tcPr>
          <w:p w:rsidR="00C8069E" w:rsidRPr="00BD6FC5" w:rsidRDefault="00C8069E" w:rsidP="00C8069E">
            <w:pPr>
              <w:ind w:left="360"/>
              <w:jc w:val="right"/>
              <w:rPr>
                <w:rFonts w:ascii="Garamond" w:hAnsi="Garamond"/>
                <w:color w:val="000000"/>
                <w:sz w:val="24"/>
                <w:szCs w:val="24"/>
              </w:rPr>
            </w:pPr>
            <w:r w:rsidRPr="00BD6FC5">
              <w:rPr>
                <w:rFonts w:ascii="Garamond" w:hAnsi="Garamond"/>
                <w:color w:val="000000"/>
                <w:sz w:val="24"/>
                <w:szCs w:val="24"/>
              </w:rPr>
              <w:t xml:space="preserve"> $                15,000 </w:t>
            </w:r>
          </w:p>
        </w:tc>
      </w:tr>
      <w:tr w:rsidR="00C8069E" w:rsidRPr="00833C3E" w:rsidTr="00C8069E">
        <w:tc>
          <w:tcPr>
            <w:tcW w:w="0" w:type="auto"/>
            <w:vAlign w:val="bottom"/>
          </w:tcPr>
          <w:p w:rsidR="00C8069E" w:rsidRPr="00BD6FC5" w:rsidRDefault="00C8069E" w:rsidP="00C8069E">
            <w:pPr>
              <w:ind w:left="360"/>
              <w:rPr>
                <w:rFonts w:ascii="Garamond" w:hAnsi="Garamond"/>
                <w:color w:val="000000"/>
                <w:sz w:val="24"/>
                <w:szCs w:val="24"/>
                <w:lang w:val="en-US"/>
              </w:rPr>
            </w:pPr>
            <w:r w:rsidRPr="00BD6FC5">
              <w:rPr>
                <w:rFonts w:ascii="Garamond" w:hAnsi="Garamond"/>
                <w:color w:val="000000"/>
                <w:sz w:val="24"/>
                <w:szCs w:val="24"/>
                <w:lang w:val="en-US"/>
              </w:rPr>
              <w:t>Lease (12 months, $2,000/mo)</w:t>
            </w:r>
          </w:p>
        </w:tc>
        <w:tc>
          <w:tcPr>
            <w:tcW w:w="2472" w:type="dxa"/>
            <w:vAlign w:val="bottom"/>
          </w:tcPr>
          <w:p w:rsidR="00C8069E" w:rsidRPr="00BD6FC5" w:rsidRDefault="00C8069E" w:rsidP="00C8069E">
            <w:pPr>
              <w:ind w:left="360"/>
              <w:jc w:val="right"/>
              <w:rPr>
                <w:rFonts w:ascii="Garamond" w:hAnsi="Garamond"/>
                <w:color w:val="000000"/>
                <w:sz w:val="24"/>
                <w:szCs w:val="24"/>
              </w:rPr>
            </w:pPr>
            <w:r w:rsidRPr="00BD6FC5">
              <w:rPr>
                <w:rFonts w:ascii="Garamond" w:hAnsi="Garamond"/>
                <w:color w:val="000000"/>
                <w:sz w:val="24"/>
                <w:szCs w:val="24"/>
              </w:rPr>
              <w:t>$                24,000</w:t>
            </w:r>
          </w:p>
        </w:tc>
      </w:tr>
      <w:tr w:rsidR="00C8069E" w:rsidRPr="00833C3E" w:rsidTr="00C8069E">
        <w:tc>
          <w:tcPr>
            <w:tcW w:w="0" w:type="auto"/>
            <w:vAlign w:val="bottom"/>
          </w:tcPr>
          <w:p w:rsidR="00C8069E" w:rsidRPr="00BD6FC5" w:rsidRDefault="00C8069E" w:rsidP="00C8069E">
            <w:pPr>
              <w:ind w:left="360"/>
              <w:rPr>
                <w:rFonts w:ascii="Garamond" w:hAnsi="Garamond"/>
                <w:color w:val="000000"/>
                <w:sz w:val="24"/>
                <w:szCs w:val="24"/>
                <w:lang w:val="en-US"/>
              </w:rPr>
            </w:pPr>
            <w:r w:rsidRPr="00BD6FC5">
              <w:rPr>
                <w:rFonts w:ascii="Garamond" w:hAnsi="Garamond"/>
                <w:color w:val="000000"/>
                <w:sz w:val="24"/>
                <w:szCs w:val="24"/>
                <w:lang w:val="en-US"/>
              </w:rPr>
              <w:t>Consumables</w:t>
            </w:r>
          </w:p>
        </w:tc>
        <w:tc>
          <w:tcPr>
            <w:tcW w:w="2472" w:type="dxa"/>
            <w:vAlign w:val="bottom"/>
          </w:tcPr>
          <w:p w:rsidR="00C8069E" w:rsidRPr="00BD6FC5" w:rsidRDefault="00C8069E" w:rsidP="005334FD">
            <w:pPr>
              <w:ind w:left="360"/>
              <w:jc w:val="right"/>
              <w:rPr>
                <w:rFonts w:ascii="Garamond" w:hAnsi="Garamond"/>
                <w:color w:val="000000"/>
                <w:sz w:val="24"/>
                <w:szCs w:val="24"/>
              </w:rPr>
            </w:pPr>
            <w:r w:rsidRPr="00BD6FC5">
              <w:rPr>
                <w:rFonts w:ascii="Garamond" w:hAnsi="Garamond"/>
                <w:color w:val="000000"/>
                <w:sz w:val="24"/>
                <w:szCs w:val="24"/>
              </w:rPr>
              <w:t xml:space="preserve">$                </w:t>
            </w:r>
            <w:r w:rsidR="005334FD" w:rsidRPr="00BD6FC5">
              <w:rPr>
                <w:rFonts w:ascii="Garamond" w:hAnsi="Garamond"/>
                <w:color w:val="000000"/>
                <w:sz w:val="24"/>
                <w:szCs w:val="24"/>
              </w:rPr>
              <w:t>2</w:t>
            </w:r>
            <w:r w:rsidRPr="00BD6FC5">
              <w:rPr>
                <w:rFonts w:ascii="Garamond" w:hAnsi="Garamond"/>
                <w:color w:val="000000"/>
                <w:sz w:val="24"/>
                <w:szCs w:val="24"/>
              </w:rPr>
              <w:t>5,000</w:t>
            </w:r>
          </w:p>
        </w:tc>
      </w:tr>
      <w:tr w:rsidR="00C8069E" w:rsidRPr="004D1079" w:rsidTr="00C8069E">
        <w:tc>
          <w:tcPr>
            <w:tcW w:w="0" w:type="auto"/>
            <w:vAlign w:val="bottom"/>
          </w:tcPr>
          <w:p w:rsidR="00C8069E" w:rsidRPr="00BD6FC5" w:rsidRDefault="00C8069E" w:rsidP="00C8069E">
            <w:pPr>
              <w:ind w:left="360"/>
              <w:rPr>
                <w:rFonts w:ascii="Garamond" w:hAnsi="Garamond"/>
                <w:color w:val="000000"/>
                <w:sz w:val="24"/>
                <w:szCs w:val="24"/>
                <w:lang w:val="en-US"/>
              </w:rPr>
            </w:pPr>
            <w:r w:rsidRPr="00BD6FC5">
              <w:rPr>
                <w:rFonts w:ascii="Garamond" w:hAnsi="Garamond"/>
                <w:color w:val="000000"/>
                <w:sz w:val="24"/>
                <w:szCs w:val="24"/>
                <w:lang w:val="en-US"/>
              </w:rPr>
              <w:t>Salary A. Holland (</w:t>
            </w:r>
            <w:r w:rsidRPr="00BD6FC5">
              <w:rPr>
                <w:rFonts w:ascii="Garamond" w:hAnsi="Garamond"/>
                <w:color w:val="000000"/>
                <w:sz w:val="24"/>
                <w:szCs w:val="24"/>
              </w:rPr>
              <w:t>12</w:t>
            </w:r>
            <w:r w:rsidRPr="00BD6FC5">
              <w:rPr>
                <w:rFonts w:ascii="Garamond" w:hAnsi="Garamond"/>
                <w:color w:val="000000"/>
                <w:sz w:val="24"/>
                <w:szCs w:val="24"/>
                <w:lang w:val="en-US"/>
              </w:rPr>
              <w:t xml:space="preserve"> months)</w:t>
            </w:r>
          </w:p>
        </w:tc>
        <w:tc>
          <w:tcPr>
            <w:tcW w:w="2472" w:type="dxa"/>
            <w:vAlign w:val="bottom"/>
          </w:tcPr>
          <w:p w:rsidR="00C8069E" w:rsidRPr="00BD6FC5" w:rsidRDefault="00C8069E" w:rsidP="00C8069E">
            <w:pPr>
              <w:ind w:left="360"/>
              <w:jc w:val="right"/>
              <w:rPr>
                <w:rFonts w:ascii="Garamond" w:hAnsi="Garamond"/>
                <w:color w:val="000000"/>
                <w:sz w:val="24"/>
                <w:szCs w:val="24"/>
                <w:lang w:val="en-US"/>
              </w:rPr>
            </w:pPr>
            <w:r w:rsidRPr="00BD6FC5">
              <w:rPr>
                <w:rFonts w:ascii="Garamond" w:hAnsi="Garamond"/>
                <w:color w:val="000000"/>
                <w:sz w:val="24"/>
                <w:szCs w:val="24"/>
                <w:lang w:val="en-US"/>
              </w:rPr>
              <w:t xml:space="preserve">$                </w:t>
            </w:r>
            <w:r w:rsidRPr="00BD6FC5">
              <w:rPr>
                <w:rFonts w:ascii="Garamond" w:hAnsi="Garamond"/>
                <w:color w:val="000000"/>
                <w:sz w:val="24"/>
                <w:szCs w:val="24"/>
              </w:rPr>
              <w:t>8</w:t>
            </w:r>
            <w:r w:rsidRPr="00BD6FC5">
              <w:rPr>
                <w:rFonts w:ascii="Garamond" w:hAnsi="Garamond"/>
                <w:color w:val="000000"/>
                <w:sz w:val="24"/>
                <w:szCs w:val="24"/>
                <w:lang w:val="en-US"/>
              </w:rPr>
              <w:t>0,000</w:t>
            </w:r>
          </w:p>
        </w:tc>
      </w:tr>
      <w:tr w:rsidR="00C8069E" w:rsidRPr="004D1079" w:rsidTr="00C8069E">
        <w:tc>
          <w:tcPr>
            <w:tcW w:w="0" w:type="auto"/>
            <w:vAlign w:val="bottom"/>
          </w:tcPr>
          <w:p w:rsidR="00C8069E" w:rsidRPr="00BD6FC5" w:rsidRDefault="00C8069E" w:rsidP="00C8069E">
            <w:pPr>
              <w:ind w:left="360"/>
              <w:rPr>
                <w:rFonts w:ascii="Garamond" w:hAnsi="Garamond"/>
                <w:color w:val="000000"/>
                <w:sz w:val="24"/>
                <w:szCs w:val="24"/>
                <w:lang w:val="en-US"/>
              </w:rPr>
            </w:pPr>
            <w:r w:rsidRPr="00BD6FC5">
              <w:rPr>
                <w:rFonts w:ascii="Garamond" w:hAnsi="Garamond"/>
                <w:color w:val="000000"/>
                <w:sz w:val="24"/>
                <w:szCs w:val="24"/>
              </w:rPr>
              <w:t>Salary Post-Doc</w:t>
            </w:r>
            <w:r w:rsidRPr="00BD6FC5">
              <w:rPr>
                <w:rFonts w:ascii="Garamond" w:hAnsi="Garamond"/>
                <w:color w:val="000000"/>
                <w:sz w:val="24"/>
                <w:szCs w:val="24"/>
                <w:lang w:val="en-US"/>
              </w:rPr>
              <w:t xml:space="preserve"> (</w:t>
            </w:r>
            <w:r w:rsidRPr="00BD6FC5">
              <w:rPr>
                <w:rFonts w:ascii="Garamond" w:hAnsi="Garamond"/>
                <w:color w:val="000000"/>
                <w:sz w:val="24"/>
                <w:szCs w:val="24"/>
              </w:rPr>
              <w:t>12</w:t>
            </w:r>
            <w:r w:rsidRPr="00BD6FC5">
              <w:rPr>
                <w:rFonts w:ascii="Garamond" w:hAnsi="Garamond"/>
                <w:color w:val="000000"/>
                <w:sz w:val="24"/>
                <w:szCs w:val="24"/>
                <w:lang w:val="en-US"/>
              </w:rPr>
              <w:t xml:space="preserve"> months)</w:t>
            </w:r>
          </w:p>
        </w:tc>
        <w:tc>
          <w:tcPr>
            <w:tcW w:w="2472" w:type="dxa"/>
            <w:vAlign w:val="bottom"/>
          </w:tcPr>
          <w:p w:rsidR="00C8069E" w:rsidRPr="00BD6FC5" w:rsidRDefault="005334FD" w:rsidP="00C8069E">
            <w:pPr>
              <w:ind w:left="360"/>
              <w:jc w:val="right"/>
              <w:rPr>
                <w:rFonts w:ascii="Garamond" w:hAnsi="Garamond"/>
                <w:color w:val="000000"/>
                <w:sz w:val="24"/>
                <w:szCs w:val="24"/>
                <w:lang w:val="en-US"/>
              </w:rPr>
            </w:pPr>
            <w:r w:rsidRPr="00BD6FC5">
              <w:rPr>
                <w:rFonts w:ascii="Garamond" w:hAnsi="Garamond"/>
                <w:color w:val="000000"/>
                <w:sz w:val="24"/>
                <w:szCs w:val="24"/>
                <w:lang w:val="en-US"/>
              </w:rPr>
              <w:t>-</w:t>
            </w:r>
          </w:p>
        </w:tc>
      </w:tr>
      <w:tr w:rsidR="00C8069E" w:rsidRPr="004D1079" w:rsidTr="00C8069E">
        <w:tc>
          <w:tcPr>
            <w:tcW w:w="0" w:type="auto"/>
            <w:vAlign w:val="bottom"/>
          </w:tcPr>
          <w:p w:rsidR="00C8069E" w:rsidRPr="00BD6FC5" w:rsidRDefault="00C8069E" w:rsidP="00C8069E">
            <w:pPr>
              <w:ind w:left="360"/>
              <w:rPr>
                <w:rFonts w:ascii="Garamond" w:hAnsi="Garamond"/>
                <w:color w:val="000000"/>
                <w:sz w:val="24"/>
                <w:szCs w:val="24"/>
                <w:lang w:val="en-US"/>
              </w:rPr>
            </w:pPr>
            <w:r w:rsidRPr="00BD6FC5">
              <w:rPr>
                <w:rFonts w:ascii="Garamond" w:hAnsi="Garamond"/>
                <w:color w:val="000000"/>
                <w:sz w:val="24"/>
                <w:szCs w:val="24"/>
                <w:lang w:val="en-US"/>
              </w:rPr>
              <w:t>Lab helper salary (part-time)</w:t>
            </w:r>
          </w:p>
        </w:tc>
        <w:tc>
          <w:tcPr>
            <w:tcW w:w="2472" w:type="dxa"/>
            <w:vAlign w:val="bottom"/>
          </w:tcPr>
          <w:p w:rsidR="00C8069E" w:rsidRPr="00BD6FC5" w:rsidRDefault="00C8069E" w:rsidP="00C8069E">
            <w:pPr>
              <w:ind w:left="360"/>
              <w:jc w:val="right"/>
              <w:rPr>
                <w:rFonts w:ascii="Garamond" w:hAnsi="Garamond"/>
                <w:color w:val="000000"/>
                <w:sz w:val="24"/>
                <w:szCs w:val="24"/>
                <w:lang w:val="en-US"/>
              </w:rPr>
            </w:pPr>
            <w:r w:rsidRPr="00BD6FC5">
              <w:rPr>
                <w:rFonts w:ascii="Garamond" w:hAnsi="Garamond"/>
                <w:color w:val="000000"/>
                <w:sz w:val="24"/>
                <w:szCs w:val="24"/>
                <w:lang w:val="en-US"/>
              </w:rPr>
              <w:t xml:space="preserve">$                </w:t>
            </w:r>
            <w:r w:rsidRPr="00BD6FC5">
              <w:rPr>
                <w:rFonts w:ascii="Garamond" w:hAnsi="Garamond"/>
                <w:color w:val="000000"/>
                <w:sz w:val="24"/>
                <w:szCs w:val="24"/>
              </w:rPr>
              <w:t>13</w:t>
            </w:r>
            <w:r w:rsidRPr="00BD6FC5">
              <w:rPr>
                <w:rFonts w:ascii="Garamond" w:hAnsi="Garamond"/>
                <w:color w:val="000000"/>
                <w:sz w:val="24"/>
                <w:szCs w:val="24"/>
                <w:lang w:val="en-US"/>
              </w:rPr>
              <w:t>,000</w:t>
            </w:r>
          </w:p>
        </w:tc>
      </w:tr>
      <w:tr w:rsidR="00C8069E" w:rsidRPr="004D1079" w:rsidTr="00D538A2">
        <w:tc>
          <w:tcPr>
            <w:tcW w:w="0" w:type="auto"/>
            <w:vAlign w:val="bottom"/>
          </w:tcPr>
          <w:p w:rsidR="00C8069E" w:rsidRPr="00BD6FC5" w:rsidRDefault="00C8069E" w:rsidP="00C8069E">
            <w:pPr>
              <w:ind w:left="360"/>
              <w:rPr>
                <w:rFonts w:ascii="Garamond" w:hAnsi="Garamond"/>
                <w:color w:val="000000"/>
                <w:sz w:val="24"/>
                <w:szCs w:val="24"/>
                <w:lang w:val="en-US"/>
              </w:rPr>
            </w:pPr>
            <w:r w:rsidRPr="00BD6FC5">
              <w:rPr>
                <w:rFonts w:ascii="Garamond" w:hAnsi="Garamond"/>
                <w:color w:val="000000"/>
                <w:sz w:val="24"/>
                <w:szCs w:val="24"/>
                <w:lang w:val="en-US"/>
              </w:rPr>
              <w:t>PIARCS promo + website</w:t>
            </w:r>
          </w:p>
        </w:tc>
        <w:tc>
          <w:tcPr>
            <w:tcW w:w="0" w:type="auto"/>
            <w:vAlign w:val="bottom"/>
          </w:tcPr>
          <w:p w:rsidR="00C8069E" w:rsidRPr="00BD6FC5" w:rsidRDefault="00C8069E" w:rsidP="00C8069E">
            <w:pPr>
              <w:ind w:left="360"/>
              <w:jc w:val="right"/>
              <w:rPr>
                <w:rFonts w:ascii="Garamond" w:hAnsi="Garamond"/>
                <w:color w:val="000000"/>
                <w:sz w:val="24"/>
                <w:szCs w:val="24"/>
                <w:lang w:val="en-US"/>
              </w:rPr>
            </w:pPr>
            <w:r w:rsidRPr="00BD6FC5">
              <w:rPr>
                <w:rFonts w:ascii="Garamond" w:hAnsi="Garamond"/>
                <w:color w:val="000000"/>
                <w:sz w:val="24"/>
                <w:szCs w:val="24"/>
                <w:lang w:val="en-US"/>
              </w:rPr>
              <w:t>$                10,000</w:t>
            </w:r>
          </w:p>
        </w:tc>
      </w:tr>
      <w:tr w:rsidR="00C8069E" w:rsidRPr="004D1079" w:rsidTr="00D538A2">
        <w:tc>
          <w:tcPr>
            <w:tcW w:w="0" w:type="auto"/>
            <w:vAlign w:val="bottom"/>
          </w:tcPr>
          <w:p w:rsidR="00C8069E" w:rsidRPr="00BD6FC5" w:rsidRDefault="00C8069E" w:rsidP="00C8069E">
            <w:pPr>
              <w:ind w:left="360"/>
              <w:rPr>
                <w:rFonts w:ascii="Garamond" w:hAnsi="Garamond"/>
                <w:color w:val="000000"/>
                <w:sz w:val="24"/>
                <w:szCs w:val="24"/>
                <w:lang w:val="en-US"/>
              </w:rPr>
            </w:pPr>
            <w:r w:rsidRPr="00BD6FC5">
              <w:rPr>
                <w:rFonts w:ascii="Garamond" w:hAnsi="Garamond"/>
                <w:color w:val="000000"/>
                <w:sz w:val="24"/>
                <w:szCs w:val="24"/>
                <w:lang w:val="en-US"/>
              </w:rPr>
              <w:t>Contractors</w:t>
            </w:r>
          </w:p>
        </w:tc>
        <w:tc>
          <w:tcPr>
            <w:tcW w:w="0" w:type="auto"/>
            <w:vAlign w:val="bottom"/>
          </w:tcPr>
          <w:p w:rsidR="00C8069E" w:rsidRPr="00BD6FC5" w:rsidRDefault="00C8069E" w:rsidP="00713377">
            <w:pPr>
              <w:ind w:left="360"/>
              <w:jc w:val="right"/>
              <w:rPr>
                <w:rFonts w:ascii="Garamond" w:hAnsi="Garamond"/>
                <w:color w:val="000000"/>
                <w:sz w:val="24"/>
                <w:szCs w:val="24"/>
                <w:lang w:val="en-US"/>
              </w:rPr>
            </w:pPr>
            <w:r w:rsidRPr="00BD6FC5">
              <w:rPr>
                <w:rFonts w:ascii="Garamond" w:hAnsi="Garamond"/>
                <w:color w:val="000000"/>
                <w:sz w:val="24"/>
                <w:szCs w:val="24"/>
                <w:lang w:val="en-US"/>
              </w:rPr>
              <w:t xml:space="preserve">$                </w:t>
            </w:r>
            <w:r w:rsidR="00713377" w:rsidRPr="00BD6FC5">
              <w:rPr>
                <w:rFonts w:ascii="Garamond" w:hAnsi="Garamond"/>
                <w:color w:val="000000"/>
                <w:sz w:val="24"/>
                <w:szCs w:val="24"/>
              </w:rPr>
              <w:t>4</w:t>
            </w:r>
            <w:r w:rsidRPr="00BD6FC5">
              <w:rPr>
                <w:rFonts w:ascii="Garamond" w:hAnsi="Garamond"/>
                <w:color w:val="000000"/>
                <w:sz w:val="24"/>
                <w:szCs w:val="24"/>
                <w:lang w:val="en-US"/>
              </w:rPr>
              <w:t>0,000</w:t>
            </w:r>
          </w:p>
        </w:tc>
      </w:tr>
      <w:tr w:rsidR="00C8069E" w:rsidRPr="004D1079" w:rsidTr="00D538A2">
        <w:tc>
          <w:tcPr>
            <w:tcW w:w="0" w:type="auto"/>
            <w:vAlign w:val="bottom"/>
          </w:tcPr>
          <w:p w:rsidR="00C8069E" w:rsidRPr="00BD6FC5" w:rsidRDefault="00C8069E" w:rsidP="00C8069E">
            <w:pPr>
              <w:ind w:left="360"/>
              <w:rPr>
                <w:rFonts w:ascii="Garamond" w:hAnsi="Garamond"/>
                <w:color w:val="000000"/>
                <w:sz w:val="24"/>
                <w:szCs w:val="24"/>
                <w:lang w:val="en-US"/>
              </w:rPr>
            </w:pPr>
            <w:r w:rsidRPr="00BD6FC5">
              <w:rPr>
                <w:rFonts w:ascii="Garamond" w:hAnsi="Garamond"/>
                <w:color w:val="000000"/>
                <w:sz w:val="24"/>
                <w:szCs w:val="24"/>
              </w:rPr>
              <w:t>Travel</w:t>
            </w:r>
          </w:p>
        </w:tc>
        <w:tc>
          <w:tcPr>
            <w:tcW w:w="0" w:type="auto"/>
            <w:vAlign w:val="bottom"/>
          </w:tcPr>
          <w:p w:rsidR="00C8069E" w:rsidRPr="00BD6FC5" w:rsidRDefault="00C8069E" w:rsidP="00C8069E">
            <w:pPr>
              <w:ind w:left="360"/>
              <w:jc w:val="right"/>
              <w:rPr>
                <w:rFonts w:ascii="Garamond" w:hAnsi="Garamond"/>
                <w:color w:val="000000"/>
                <w:sz w:val="24"/>
                <w:szCs w:val="24"/>
                <w:lang w:val="en-US"/>
              </w:rPr>
            </w:pPr>
            <w:r w:rsidRPr="00BD6FC5">
              <w:rPr>
                <w:rFonts w:ascii="Garamond" w:hAnsi="Garamond"/>
                <w:color w:val="000000"/>
                <w:sz w:val="24"/>
                <w:szCs w:val="24"/>
              </w:rPr>
              <w:t>$                  5,000</w:t>
            </w:r>
          </w:p>
        </w:tc>
      </w:tr>
      <w:tr w:rsidR="00C8069E" w:rsidRPr="004D1079" w:rsidTr="00D538A2">
        <w:tc>
          <w:tcPr>
            <w:tcW w:w="0" w:type="auto"/>
            <w:vAlign w:val="bottom"/>
          </w:tcPr>
          <w:p w:rsidR="00C8069E" w:rsidRPr="00BD6FC5" w:rsidRDefault="00C8069E" w:rsidP="00C8069E">
            <w:pPr>
              <w:ind w:left="360"/>
              <w:rPr>
                <w:rFonts w:ascii="Garamond" w:hAnsi="Garamond"/>
                <w:color w:val="000000"/>
                <w:sz w:val="24"/>
                <w:szCs w:val="24"/>
              </w:rPr>
            </w:pPr>
            <w:r w:rsidRPr="00BD6FC5">
              <w:rPr>
                <w:rFonts w:ascii="Garamond" w:hAnsi="Garamond"/>
                <w:color w:val="000000"/>
                <w:sz w:val="24"/>
                <w:szCs w:val="24"/>
              </w:rPr>
              <w:t>Unforeseen costs</w:t>
            </w:r>
          </w:p>
        </w:tc>
        <w:tc>
          <w:tcPr>
            <w:tcW w:w="0" w:type="auto"/>
            <w:vAlign w:val="bottom"/>
          </w:tcPr>
          <w:p w:rsidR="00C8069E" w:rsidRPr="00BD6FC5" w:rsidRDefault="005334FD" w:rsidP="00713377">
            <w:pPr>
              <w:ind w:left="360"/>
              <w:jc w:val="right"/>
              <w:rPr>
                <w:rFonts w:ascii="Garamond" w:hAnsi="Garamond"/>
                <w:color w:val="000000"/>
                <w:sz w:val="24"/>
                <w:szCs w:val="24"/>
              </w:rPr>
            </w:pPr>
            <w:r w:rsidRPr="00BD6FC5">
              <w:rPr>
                <w:rFonts w:ascii="Garamond" w:hAnsi="Garamond"/>
                <w:color w:val="000000"/>
                <w:sz w:val="24"/>
                <w:szCs w:val="24"/>
              </w:rPr>
              <w:t>-</w:t>
            </w:r>
            <w:r w:rsidR="00C8069E" w:rsidRPr="00BD6FC5">
              <w:rPr>
                <w:rFonts w:ascii="Garamond" w:hAnsi="Garamond"/>
                <w:color w:val="000000"/>
                <w:sz w:val="24"/>
                <w:szCs w:val="24"/>
              </w:rPr>
              <w:t xml:space="preserve"> </w:t>
            </w:r>
          </w:p>
        </w:tc>
      </w:tr>
      <w:tr w:rsidR="00C8069E" w:rsidRPr="004D1079" w:rsidTr="00D538A2">
        <w:tc>
          <w:tcPr>
            <w:tcW w:w="0" w:type="auto"/>
            <w:vAlign w:val="bottom"/>
          </w:tcPr>
          <w:p w:rsidR="00C8069E" w:rsidRPr="00BD6FC5" w:rsidRDefault="00C8069E" w:rsidP="00C8069E">
            <w:pPr>
              <w:ind w:left="360"/>
              <w:rPr>
                <w:rFonts w:ascii="Garamond" w:hAnsi="Garamond"/>
                <w:b/>
                <w:color w:val="000000"/>
                <w:sz w:val="24"/>
                <w:szCs w:val="24"/>
                <w:lang w:val="en-US"/>
              </w:rPr>
            </w:pPr>
            <w:r w:rsidRPr="00BD6FC5">
              <w:rPr>
                <w:rFonts w:ascii="Garamond" w:hAnsi="Garamond"/>
                <w:b/>
                <w:color w:val="000000"/>
                <w:sz w:val="24"/>
                <w:szCs w:val="24"/>
                <w:lang w:val="en-US"/>
              </w:rPr>
              <w:t>Total</w:t>
            </w:r>
          </w:p>
        </w:tc>
        <w:tc>
          <w:tcPr>
            <w:tcW w:w="0" w:type="auto"/>
            <w:vAlign w:val="bottom"/>
          </w:tcPr>
          <w:p w:rsidR="00C8069E" w:rsidRPr="00BD6FC5" w:rsidRDefault="00C8069E" w:rsidP="005334FD">
            <w:pPr>
              <w:ind w:left="360"/>
              <w:jc w:val="right"/>
              <w:rPr>
                <w:rFonts w:ascii="Garamond" w:hAnsi="Garamond"/>
                <w:b/>
                <w:color w:val="000000"/>
                <w:sz w:val="24"/>
                <w:szCs w:val="24"/>
                <w:lang w:val="en-US"/>
              </w:rPr>
            </w:pPr>
            <w:r w:rsidRPr="00BD6FC5">
              <w:rPr>
                <w:rFonts w:ascii="Garamond" w:hAnsi="Garamond"/>
                <w:b/>
                <w:color w:val="000000"/>
                <w:sz w:val="24"/>
                <w:szCs w:val="24"/>
                <w:lang w:val="en-US"/>
              </w:rPr>
              <w:t xml:space="preserve"> $              </w:t>
            </w:r>
            <w:r w:rsidR="005334FD" w:rsidRPr="00BD6FC5">
              <w:rPr>
                <w:rFonts w:ascii="Garamond" w:hAnsi="Garamond"/>
                <w:b/>
                <w:color w:val="000000"/>
                <w:sz w:val="24"/>
                <w:szCs w:val="24"/>
              </w:rPr>
              <w:t>292</w:t>
            </w:r>
            <w:r w:rsidRPr="00BD6FC5">
              <w:rPr>
                <w:rFonts w:ascii="Garamond" w:hAnsi="Garamond"/>
                <w:b/>
                <w:color w:val="000000"/>
                <w:sz w:val="24"/>
                <w:szCs w:val="24"/>
                <w:lang w:val="en-US"/>
              </w:rPr>
              <w:t xml:space="preserve">,000 </w:t>
            </w:r>
          </w:p>
        </w:tc>
      </w:tr>
    </w:tbl>
    <w:p w:rsidR="00711AE6" w:rsidRPr="00416890" w:rsidRDefault="004D1079" w:rsidP="00711AE6">
      <w:pPr>
        <w:spacing w:after="0"/>
        <w:ind w:left="360"/>
        <w:rPr>
          <w:rFonts w:ascii="Garamond" w:hAnsi="Garamond"/>
          <w:sz w:val="26"/>
          <w:szCs w:val="26"/>
          <w:lang w:val="en-US"/>
        </w:rPr>
      </w:pPr>
      <w:r>
        <w:rPr>
          <w:rFonts w:ascii="Garamond" w:hAnsi="Garamond"/>
          <w:b/>
          <w:sz w:val="26"/>
          <w:szCs w:val="26"/>
          <w:lang w:val="en-US"/>
        </w:rPr>
        <w:t xml:space="preserve">Table </w:t>
      </w:r>
      <w:r w:rsidR="00D538A2">
        <w:rPr>
          <w:rFonts w:ascii="Garamond" w:hAnsi="Garamond"/>
          <w:b/>
          <w:sz w:val="26"/>
          <w:szCs w:val="26"/>
          <w:lang w:val="en-US"/>
        </w:rPr>
        <w:t>3</w:t>
      </w:r>
      <w:r>
        <w:rPr>
          <w:rFonts w:ascii="Garamond" w:hAnsi="Garamond"/>
          <w:b/>
          <w:sz w:val="26"/>
          <w:szCs w:val="26"/>
          <w:lang w:val="en-US"/>
        </w:rPr>
        <w:t xml:space="preserve">. </w:t>
      </w:r>
      <w:r w:rsidRPr="00416890">
        <w:rPr>
          <w:rFonts w:ascii="Garamond" w:hAnsi="Garamond"/>
          <w:sz w:val="26"/>
          <w:szCs w:val="26"/>
          <w:lang w:val="en-US"/>
        </w:rPr>
        <w:t>Operating</w:t>
      </w:r>
      <w:r w:rsidR="00711AE6" w:rsidRPr="00416890">
        <w:rPr>
          <w:rFonts w:ascii="Garamond" w:hAnsi="Garamond"/>
          <w:sz w:val="26"/>
          <w:szCs w:val="26"/>
          <w:lang w:val="en-US"/>
        </w:rPr>
        <w:t xml:space="preserve"> </w:t>
      </w:r>
      <w:r w:rsidR="00E376A2" w:rsidRPr="00416890">
        <w:rPr>
          <w:rFonts w:ascii="Garamond" w:hAnsi="Garamond"/>
          <w:sz w:val="26"/>
          <w:szCs w:val="26"/>
          <w:lang w:val="en-US"/>
        </w:rPr>
        <w:t>&amp; Legal costs</w:t>
      </w:r>
      <w:r w:rsidR="00416890" w:rsidRPr="00416890">
        <w:rPr>
          <w:rFonts w:ascii="Garamond" w:hAnsi="Garamond"/>
          <w:sz w:val="26"/>
          <w:szCs w:val="26"/>
          <w:lang w:val="en-US"/>
        </w:rPr>
        <w:t xml:space="preserve"> for Year 1</w:t>
      </w:r>
    </w:p>
    <w:p w:rsidR="00416890" w:rsidRDefault="00416890" w:rsidP="00416890">
      <w:pPr>
        <w:spacing w:after="0"/>
        <w:ind w:left="360"/>
        <w:rPr>
          <w:rFonts w:ascii="Garamond" w:hAnsi="Garamond"/>
          <w:sz w:val="26"/>
          <w:szCs w:val="26"/>
          <w:lang w:val="en-US"/>
        </w:rPr>
      </w:pPr>
    </w:p>
    <w:p w:rsidR="000B2214" w:rsidRDefault="000B2214" w:rsidP="00E6602F">
      <w:pPr>
        <w:spacing w:after="0"/>
        <w:ind w:left="360"/>
        <w:rPr>
          <w:rFonts w:ascii="Garamond" w:hAnsi="Garamond"/>
          <w:sz w:val="26"/>
          <w:szCs w:val="26"/>
          <w:lang w:val="en-US"/>
        </w:rPr>
      </w:pPr>
    </w:p>
    <w:p w:rsidR="00B1556F" w:rsidRPr="00C972BA" w:rsidRDefault="00B1556F" w:rsidP="00B1556F">
      <w:pPr>
        <w:pStyle w:val="Heading2"/>
        <w:rPr>
          <w:b/>
          <w:color w:val="149346"/>
          <w:lang w:val="en-US"/>
        </w:rPr>
      </w:pPr>
      <w:bookmarkStart w:id="18" w:name="_Toc403474333"/>
      <w:r>
        <w:rPr>
          <w:b/>
          <w:color w:val="149346"/>
          <w:lang w:val="en-US"/>
        </w:rPr>
        <w:t>C</w:t>
      </w:r>
      <w:r w:rsidRPr="00034C1B">
        <w:rPr>
          <w:b/>
          <w:color w:val="149346"/>
          <w:lang w:val="en-US"/>
        </w:rPr>
        <w:t xml:space="preserve"> </w:t>
      </w:r>
      <w:r>
        <w:rPr>
          <w:b/>
          <w:color w:val="149346"/>
          <w:lang w:val="en-US"/>
        </w:rPr>
        <w:t>–</w:t>
      </w:r>
      <w:r w:rsidRPr="00034C1B">
        <w:rPr>
          <w:b/>
          <w:color w:val="149346"/>
          <w:lang w:val="en-US"/>
        </w:rPr>
        <w:t xml:space="preserve"> </w:t>
      </w:r>
      <w:r>
        <w:rPr>
          <w:b/>
          <w:color w:val="149346"/>
          <w:lang w:val="en-US"/>
        </w:rPr>
        <w:t>PIARCS’ licensing fees</w:t>
      </w:r>
      <w:r w:rsidRPr="00C972BA">
        <w:rPr>
          <w:b/>
          <w:color w:val="149346"/>
          <w:lang w:val="en-US"/>
        </w:rPr>
        <w:t xml:space="preserve"> </w:t>
      </w:r>
      <w:r w:rsidR="000A2AB6">
        <w:rPr>
          <w:b/>
          <w:color w:val="149346"/>
          <w:lang w:val="en-US"/>
        </w:rPr>
        <w:t>and break-even analysis</w:t>
      </w:r>
      <w:bookmarkEnd w:id="18"/>
    </w:p>
    <w:p w:rsidR="00B1556F" w:rsidRDefault="00B1556F" w:rsidP="00B1556F">
      <w:pPr>
        <w:spacing w:after="0"/>
        <w:ind w:left="360"/>
        <w:rPr>
          <w:rFonts w:ascii="Garamond" w:hAnsi="Garamond"/>
          <w:sz w:val="26"/>
          <w:szCs w:val="26"/>
          <w:u w:val="single"/>
          <w:lang w:val="en-US"/>
        </w:rPr>
      </w:pPr>
    </w:p>
    <w:p w:rsidR="00E1230B" w:rsidRPr="00E1230B" w:rsidRDefault="00E1230B" w:rsidP="00E1230B">
      <w:pPr>
        <w:spacing w:after="120"/>
        <w:ind w:left="360"/>
        <w:rPr>
          <w:rFonts w:ascii="Garamond" w:hAnsi="Garamond"/>
          <w:b/>
          <w:sz w:val="24"/>
          <w:szCs w:val="24"/>
          <w:lang w:val="en-US"/>
        </w:rPr>
      </w:pPr>
      <w:r w:rsidRPr="00E1230B">
        <w:rPr>
          <w:rFonts w:ascii="Garamond" w:hAnsi="Garamond"/>
          <w:b/>
          <w:sz w:val="24"/>
          <w:szCs w:val="24"/>
          <w:lang w:val="en-US"/>
        </w:rPr>
        <w:t>Algal biofuel revenue stream</w:t>
      </w:r>
    </w:p>
    <w:p w:rsidR="000A2AB6" w:rsidRDefault="000A2AB6" w:rsidP="00E1230B">
      <w:pPr>
        <w:spacing w:after="120"/>
        <w:ind w:left="360"/>
        <w:rPr>
          <w:rFonts w:ascii="Garamond" w:hAnsi="Garamond"/>
          <w:sz w:val="24"/>
          <w:szCs w:val="24"/>
          <w:lang w:val="en-US"/>
        </w:rPr>
      </w:pPr>
      <w:r>
        <w:rPr>
          <w:rFonts w:ascii="Garamond" w:hAnsi="Garamond"/>
          <w:sz w:val="24"/>
          <w:szCs w:val="24"/>
          <w:lang w:val="en-US"/>
        </w:rPr>
        <w:t>The license alone and/or bundles of licenses will have a fixed price, proportional to the amount of biomass or biomass derivatives produced.  The following license pricing has been calculated based on the energy content of algal biomass and the price of diesel gas, and corrected for inflation (reference year 2014):</w:t>
      </w:r>
    </w:p>
    <w:p w:rsidR="000A2AB6" w:rsidRDefault="000A2AB6" w:rsidP="000A2AB6">
      <w:pPr>
        <w:pStyle w:val="ListParagraph"/>
        <w:numPr>
          <w:ilvl w:val="0"/>
          <w:numId w:val="6"/>
        </w:numPr>
        <w:spacing w:after="0"/>
        <w:ind w:left="360" w:firstLine="0"/>
        <w:rPr>
          <w:rFonts w:ascii="Garamond" w:hAnsi="Garamond"/>
          <w:sz w:val="24"/>
          <w:szCs w:val="24"/>
          <w:lang w:val="en-US"/>
        </w:rPr>
      </w:pPr>
      <w:r w:rsidRPr="002469F2">
        <w:rPr>
          <w:rFonts w:ascii="Garamond" w:hAnsi="Garamond"/>
          <w:sz w:val="24"/>
          <w:szCs w:val="24"/>
          <w:lang w:val="en-US"/>
        </w:rPr>
        <w:t>$0.05/gal lipids</w:t>
      </w:r>
    </w:p>
    <w:p w:rsidR="000A2AB6" w:rsidRDefault="000A2AB6" w:rsidP="000A2AB6">
      <w:pPr>
        <w:pStyle w:val="ListParagraph"/>
        <w:numPr>
          <w:ilvl w:val="0"/>
          <w:numId w:val="6"/>
        </w:numPr>
        <w:spacing w:after="0"/>
        <w:ind w:left="360" w:firstLine="0"/>
        <w:rPr>
          <w:rFonts w:ascii="Garamond" w:hAnsi="Garamond"/>
          <w:sz w:val="24"/>
          <w:szCs w:val="24"/>
          <w:lang w:val="en-US"/>
        </w:rPr>
      </w:pPr>
      <w:r w:rsidRPr="002469F2">
        <w:rPr>
          <w:rFonts w:ascii="Garamond" w:hAnsi="Garamond"/>
          <w:sz w:val="24"/>
          <w:szCs w:val="24"/>
          <w:lang w:val="en-US"/>
        </w:rPr>
        <w:t>$0.1815/thousand cubic feet methane or $0.1721/GJ methane</w:t>
      </w:r>
    </w:p>
    <w:p w:rsidR="000A2AB6" w:rsidRDefault="000A2AB6" w:rsidP="000A2AB6">
      <w:pPr>
        <w:pStyle w:val="ListParagraph"/>
        <w:numPr>
          <w:ilvl w:val="0"/>
          <w:numId w:val="6"/>
        </w:numPr>
        <w:spacing w:after="0"/>
        <w:ind w:left="360" w:firstLine="0"/>
        <w:rPr>
          <w:rFonts w:ascii="Garamond" w:hAnsi="Garamond"/>
          <w:sz w:val="24"/>
          <w:szCs w:val="24"/>
          <w:lang w:val="en-US"/>
        </w:rPr>
      </w:pPr>
      <w:r w:rsidRPr="002469F2">
        <w:rPr>
          <w:rFonts w:ascii="Garamond" w:hAnsi="Garamond"/>
          <w:sz w:val="24"/>
          <w:szCs w:val="24"/>
          <w:lang w:val="en-US"/>
        </w:rPr>
        <w:t>$3.885/ton of raw biomass (on a dry weight basis)</w:t>
      </w:r>
      <w:r>
        <w:rPr>
          <w:rFonts w:ascii="Garamond" w:hAnsi="Garamond"/>
          <w:sz w:val="24"/>
          <w:szCs w:val="24"/>
          <w:lang w:val="en-US"/>
        </w:rPr>
        <w:t>; this compares to a common $220/ton hay (sale price dry weight basis).</w:t>
      </w:r>
    </w:p>
    <w:p w:rsidR="000A2AB6" w:rsidRPr="002469F2" w:rsidRDefault="000A2AB6" w:rsidP="000A2AB6">
      <w:pPr>
        <w:pStyle w:val="ListParagraph"/>
        <w:spacing w:after="0"/>
        <w:ind w:left="360"/>
        <w:rPr>
          <w:rFonts w:ascii="Garamond" w:hAnsi="Garamond"/>
          <w:sz w:val="24"/>
          <w:szCs w:val="24"/>
          <w:lang w:val="en-US"/>
        </w:rPr>
      </w:pPr>
    </w:p>
    <w:p w:rsidR="000A2AB6" w:rsidRDefault="000A2AB6" w:rsidP="000A2AB6">
      <w:pPr>
        <w:spacing w:after="0"/>
        <w:ind w:left="360"/>
        <w:rPr>
          <w:rFonts w:ascii="Garamond" w:hAnsi="Garamond" w:cs="Arial"/>
          <w:sz w:val="24"/>
          <w:szCs w:val="24"/>
          <w:lang w:val="en-US"/>
        </w:rPr>
      </w:pPr>
      <w:r>
        <w:rPr>
          <w:rFonts w:ascii="Garamond" w:hAnsi="Garamond"/>
          <w:sz w:val="24"/>
          <w:szCs w:val="24"/>
          <w:lang w:val="en-US"/>
        </w:rPr>
        <w:t xml:space="preserve">For an average yearly irradiance of 390 </w:t>
      </w:r>
      <w:r w:rsidRPr="00F95FEA">
        <w:rPr>
          <w:rFonts w:ascii="Garamond" w:hAnsi="Garamond"/>
          <w:sz w:val="24"/>
          <w:szCs w:val="24"/>
          <w:lang w:val="en-US"/>
        </w:rPr>
        <w:t>µE/m</w:t>
      </w:r>
      <w:r w:rsidRPr="000A2AB6">
        <w:rPr>
          <w:rFonts w:ascii="Garamond" w:hAnsi="Garamond"/>
          <w:sz w:val="24"/>
          <w:szCs w:val="24"/>
          <w:vertAlign w:val="superscript"/>
          <w:lang w:val="en-US"/>
        </w:rPr>
        <w:t>2</w:t>
      </w:r>
      <w:r w:rsidRPr="00F95FEA">
        <w:rPr>
          <w:rFonts w:ascii="Garamond" w:hAnsi="Garamond"/>
          <w:sz w:val="24"/>
          <w:szCs w:val="24"/>
          <w:lang w:val="en-US"/>
        </w:rPr>
        <w:t xml:space="preserve">/s (or 4.85 </w:t>
      </w:r>
      <w:r w:rsidRPr="00F95FEA">
        <w:rPr>
          <w:rFonts w:ascii="Garamond" w:hAnsi="Garamond" w:cs="Arial"/>
          <w:sz w:val="24"/>
          <w:szCs w:val="24"/>
          <w:lang w:val="en-US"/>
        </w:rPr>
        <w:t>kWh/m</w:t>
      </w:r>
      <w:r w:rsidRPr="000A2AB6">
        <w:rPr>
          <w:rFonts w:ascii="Garamond" w:hAnsi="Garamond" w:cs="Arial"/>
          <w:sz w:val="24"/>
          <w:szCs w:val="24"/>
          <w:vertAlign w:val="superscript"/>
          <w:lang w:val="en-US"/>
        </w:rPr>
        <w:t>2</w:t>
      </w:r>
      <w:r w:rsidR="00EC482D">
        <w:rPr>
          <w:rFonts w:ascii="Garamond" w:hAnsi="Garamond" w:cs="Arial"/>
          <w:sz w:val="24"/>
          <w:szCs w:val="24"/>
          <w:lang w:val="en-US"/>
        </w:rPr>
        <w:t>/day</w:t>
      </w:r>
      <w:r>
        <w:rPr>
          <w:rFonts w:ascii="Garamond" w:hAnsi="Garamond" w:cs="Arial"/>
          <w:sz w:val="24"/>
          <w:szCs w:val="24"/>
          <w:lang w:val="en-US"/>
        </w:rPr>
        <w:t>) such as in Southern CA, the following productivities should be achievable – not taking into account the processing footprint and energy requirements:</w:t>
      </w:r>
    </w:p>
    <w:p w:rsidR="000A2AB6" w:rsidRDefault="000A2AB6" w:rsidP="000A2AB6">
      <w:pPr>
        <w:pStyle w:val="ListParagraph"/>
        <w:numPr>
          <w:ilvl w:val="0"/>
          <w:numId w:val="5"/>
        </w:numPr>
        <w:spacing w:after="0"/>
        <w:ind w:left="360" w:firstLine="0"/>
        <w:rPr>
          <w:rFonts w:ascii="Garamond" w:hAnsi="Garamond"/>
          <w:sz w:val="24"/>
          <w:szCs w:val="24"/>
          <w:lang w:val="en-US"/>
        </w:rPr>
      </w:pPr>
      <w:r>
        <w:rPr>
          <w:rFonts w:ascii="Garamond" w:hAnsi="Garamond"/>
          <w:sz w:val="24"/>
          <w:szCs w:val="24"/>
          <w:lang w:val="en-US"/>
        </w:rPr>
        <w:t>7,500 gal acre</w:t>
      </w:r>
      <w:r w:rsidRPr="00F12A14">
        <w:rPr>
          <w:rFonts w:ascii="Garamond" w:hAnsi="Garamond"/>
          <w:sz w:val="24"/>
          <w:szCs w:val="24"/>
          <w:vertAlign w:val="superscript"/>
          <w:lang w:val="en-US"/>
        </w:rPr>
        <w:t>-1</w:t>
      </w:r>
      <w:r>
        <w:rPr>
          <w:rFonts w:ascii="Garamond" w:hAnsi="Garamond"/>
          <w:sz w:val="24"/>
          <w:szCs w:val="24"/>
          <w:lang w:val="en-US"/>
        </w:rPr>
        <w:t xml:space="preserve"> y</w:t>
      </w:r>
      <w:r w:rsidRPr="00F12A14">
        <w:rPr>
          <w:rFonts w:ascii="Garamond" w:hAnsi="Garamond"/>
          <w:sz w:val="24"/>
          <w:szCs w:val="24"/>
          <w:vertAlign w:val="superscript"/>
          <w:lang w:val="en-US"/>
        </w:rPr>
        <w:t>-1</w:t>
      </w:r>
      <w:r>
        <w:rPr>
          <w:rFonts w:ascii="Garamond" w:hAnsi="Garamond"/>
          <w:sz w:val="24"/>
          <w:szCs w:val="24"/>
          <w:lang w:val="en-US"/>
        </w:rPr>
        <w:t xml:space="preserve"> of algal lipids (850 g L</w:t>
      </w:r>
      <w:r w:rsidRPr="00F12A14">
        <w:rPr>
          <w:rFonts w:ascii="Garamond" w:hAnsi="Garamond"/>
          <w:sz w:val="24"/>
          <w:szCs w:val="24"/>
          <w:vertAlign w:val="superscript"/>
          <w:lang w:val="en-US"/>
        </w:rPr>
        <w:t>-1</w:t>
      </w:r>
      <w:r>
        <w:rPr>
          <w:rFonts w:ascii="Garamond" w:hAnsi="Garamond"/>
          <w:sz w:val="24"/>
          <w:szCs w:val="24"/>
          <w:lang w:val="en-US"/>
        </w:rPr>
        <w:t xml:space="preserve"> density) under N limitation, 25% harvestable lipids</w:t>
      </w:r>
    </w:p>
    <w:p w:rsidR="000A2AB6" w:rsidRDefault="000A2AB6" w:rsidP="000A2AB6">
      <w:pPr>
        <w:pStyle w:val="ListParagraph"/>
        <w:numPr>
          <w:ilvl w:val="0"/>
          <w:numId w:val="5"/>
        </w:numPr>
        <w:spacing w:after="0"/>
        <w:ind w:left="360" w:firstLine="0"/>
        <w:rPr>
          <w:rFonts w:ascii="Garamond" w:hAnsi="Garamond"/>
          <w:sz w:val="24"/>
          <w:szCs w:val="24"/>
          <w:lang w:val="en-US"/>
        </w:rPr>
      </w:pPr>
      <w:r>
        <w:rPr>
          <w:rFonts w:ascii="Garamond" w:hAnsi="Garamond"/>
          <w:sz w:val="24"/>
          <w:szCs w:val="24"/>
          <w:lang w:val="en-US"/>
        </w:rPr>
        <w:t>824 GJ acre</w:t>
      </w:r>
      <w:r w:rsidRPr="00F12A14">
        <w:rPr>
          <w:rFonts w:ascii="Garamond" w:hAnsi="Garamond"/>
          <w:sz w:val="24"/>
          <w:szCs w:val="24"/>
          <w:vertAlign w:val="superscript"/>
          <w:lang w:val="en-US"/>
        </w:rPr>
        <w:t>-1</w:t>
      </w:r>
      <w:r>
        <w:rPr>
          <w:rFonts w:ascii="Garamond" w:hAnsi="Garamond"/>
          <w:sz w:val="24"/>
          <w:szCs w:val="24"/>
          <w:lang w:val="en-US"/>
        </w:rPr>
        <w:t xml:space="preserve"> y</w:t>
      </w:r>
      <w:r w:rsidRPr="00F12A14">
        <w:rPr>
          <w:rFonts w:ascii="Garamond" w:hAnsi="Garamond"/>
          <w:sz w:val="24"/>
          <w:szCs w:val="24"/>
          <w:vertAlign w:val="superscript"/>
          <w:lang w:val="en-US"/>
        </w:rPr>
        <w:t>-1</w:t>
      </w:r>
      <w:r>
        <w:rPr>
          <w:rFonts w:ascii="Garamond" w:hAnsi="Garamond"/>
          <w:sz w:val="24"/>
          <w:szCs w:val="24"/>
          <w:lang w:val="en-US"/>
        </w:rPr>
        <w:t xml:space="preserve"> of algal-derived methane under N-replete conditions; this assumes an anaerobic digestion production of 300 m</w:t>
      </w:r>
      <w:r w:rsidRPr="0047384A">
        <w:rPr>
          <w:rFonts w:ascii="Garamond" w:hAnsi="Garamond"/>
          <w:sz w:val="24"/>
          <w:szCs w:val="24"/>
          <w:vertAlign w:val="superscript"/>
          <w:lang w:val="en-US"/>
        </w:rPr>
        <w:t>3</w:t>
      </w:r>
      <w:r>
        <w:rPr>
          <w:rFonts w:ascii="Garamond" w:hAnsi="Garamond"/>
          <w:sz w:val="24"/>
          <w:szCs w:val="24"/>
          <w:lang w:val="en-US"/>
        </w:rPr>
        <w:t xml:space="preserve"> CH</w:t>
      </w:r>
      <w:r w:rsidRPr="0047384A">
        <w:rPr>
          <w:rFonts w:ascii="Garamond" w:hAnsi="Garamond"/>
          <w:sz w:val="24"/>
          <w:szCs w:val="24"/>
          <w:vertAlign w:val="subscript"/>
          <w:lang w:val="en-US"/>
        </w:rPr>
        <w:t>4</w:t>
      </w:r>
      <w:r>
        <w:rPr>
          <w:rFonts w:ascii="Garamond" w:hAnsi="Garamond"/>
          <w:sz w:val="24"/>
          <w:szCs w:val="24"/>
          <w:lang w:val="en-US"/>
        </w:rPr>
        <w:t>/ton DW algal biomass, which corresponds to an energy efficiency ~40% common to fermentation processes.</w:t>
      </w:r>
    </w:p>
    <w:p w:rsidR="000A2AB6" w:rsidRDefault="000A2AB6" w:rsidP="000A2AB6">
      <w:pPr>
        <w:pStyle w:val="ListParagraph"/>
        <w:numPr>
          <w:ilvl w:val="0"/>
          <w:numId w:val="5"/>
        </w:numPr>
        <w:spacing w:after="0"/>
        <w:ind w:left="360" w:firstLine="0"/>
        <w:rPr>
          <w:rFonts w:ascii="Garamond" w:hAnsi="Garamond"/>
          <w:sz w:val="24"/>
          <w:szCs w:val="24"/>
          <w:lang w:val="en-US"/>
        </w:rPr>
      </w:pPr>
      <w:r>
        <w:rPr>
          <w:rFonts w:ascii="Garamond" w:hAnsi="Garamond"/>
          <w:sz w:val="24"/>
          <w:szCs w:val="24"/>
          <w:lang w:val="en-US"/>
        </w:rPr>
        <w:t>121 tons acre</w:t>
      </w:r>
      <w:r w:rsidRPr="00F12A14">
        <w:rPr>
          <w:rFonts w:ascii="Garamond" w:hAnsi="Garamond"/>
          <w:sz w:val="24"/>
          <w:szCs w:val="24"/>
          <w:vertAlign w:val="superscript"/>
          <w:lang w:val="en-US"/>
        </w:rPr>
        <w:t>-1</w:t>
      </w:r>
      <w:r>
        <w:rPr>
          <w:rFonts w:ascii="Garamond" w:hAnsi="Garamond"/>
          <w:sz w:val="24"/>
          <w:szCs w:val="24"/>
          <w:lang w:val="en-US"/>
        </w:rPr>
        <w:t xml:space="preserve"> y</w:t>
      </w:r>
      <w:r w:rsidRPr="00F12A14">
        <w:rPr>
          <w:rFonts w:ascii="Garamond" w:hAnsi="Garamond"/>
          <w:sz w:val="24"/>
          <w:szCs w:val="24"/>
          <w:vertAlign w:val="superscript"/>
          <w:lang w:val="en-US"/>
        </w:rPr>
        <w:t>-1</w:t>
      </w:r>
      <w:r>
        <w:rPr>
          <w:rFonts w:ascii="Garamond" w:hAnsi="Garamond"/>
          <w:sz w:val="24"/>
          <w:szCs w:val="24"/>
          <w:lang w:val="en-US"/>
        </w:rPr>
        <w:t xml:space="preserve"> of algal dry weight under N-replete conditions (as animal feed etc.)</w:t>
      </w:r>
    </w:p>
    <w:p w:rsidR="000A2AB6" w:rsidRPr="00E11097" w:rsidRDefault="000A2AB6" w:rsidP="000A2AB6">
      <w:pPr>
        <w:spacing w:after="0"/>
        <w:ind w:left="360"/>
        <w:rPr>
          <w:rFonts w:ascii="Garamond" w:hAnsi="Garamond"/>
          <w:sz w:val="24"/>
          <w:szCs w:val="24"/>
          <w:lang w:val="en-US"/>
        </w:rPr>
      </w:pPr>
    </w:p>
    <w:p w:rsidR="000A2AB6" w:rsidRDefault="000A2AB6" w:rsidP="000A2AB6">
      <w:pPr>
        <w:pStyle w:val="ListParagraph"/>
        <w:spacing w:after="0"/>
        <w:ind w:left="360"/>
        <w:rPr>
          <w:rFonts w:ascii="Garamond" w:hAnsi="Garamond"/>
          <w:sz w:val="24"/>
          <w:szCs w:val="24"/>
          <w:lang w:val="en-US"/>
        </w:rPr>
      </w:pPr>
      <w:r>
        <w:rPr>
          <w:rFonts w:ascii="Garamond" w:hAnsi="Garamond"/>
          <w:sz w:val="24"/>
          <w:szCs w:val="24"/>
          <w:lang w:val="en-US"/>
        </w:rPr>
        <w:t>These productivities would generate the following PIARCS revenues per acre per year at the above irradiance, depending on the final product:</w:t>
      </w:r>
    </w:p>
    <w:p w:rsidR="000A2AB6" w:rsidRDefault="000A2AB6" w:rsidP="000A2AB6">
      <w:pPr>
        <w:pStyle w:val="ListParagraph"/>
        <w:numPr>
          <w:ilvl w:val="0"/>
          <w:numId w:val="5"/>
        </w:numPr>
        <w:spacing w:after="0"/>
        <w:ind w:left="360" w:firstLine="0"/>
        <w:rPr>
          <w:rFonts w:ascii="Garamond" w:hAnsi="Garamond"/>
          <w:sz w:val="24"/>
          <w:szCs w:val="24"/>
          <w:lang w:val="en-US"/>
        </w:rPr>
      </w:pPr>
      <w:r>
        <w:rPr>
          <w:rFonts w:ascii="Garamond" w:hAnsi="Garamond"/>
          <w:sz w:val="24"/>
          <w:szCs w:val="24"/>
          <w:lang w:val="en-US"/>
        </w:rPr>
        <w:t>$152 acre</w:t>
      </w:r>
      <w:r w:rsidRPr="00F12A14">
        <w:rPr>
          <w:rFonts w:ascii="Garamond" w:hAnsi="Garamond"/>
          <w:sz w:val="24"/>
          <w:szCs w:val="24"/>
          <w:vertAlign w:val="superscript"/>
          <w:lang w:val="en-US"/>
        </w:rPr>
        <w:t>-1</w:t>
      </w:r>
      <w:r>
        <w:rPr>
          <w:rFonts w:ascii="Garamond" w:hAnsi="Garamond"/>
          <w:sz w:val="24"/>
          <w:szCs w:val="24"/>
          <w:lang w:val="en-US"/>
        </w:rPr>
        <w:t xml:space="preserve"> y</w:t>
      </w:r>
      <w:r w:rsidRPr="00F12A14">
        <w:rPr>
          <w:rFonts w:ascii="Garamond" w:hAnsi="Garamond"/>
          <w:sz w:val="24"/>
          <w:szCs w:val="24"/>
          <w:vertAlign w:val="superscript"/>
          <w:lang w:val="en-US"/>
        </w:rPr>
        <w:t>-1</w:t>
      </w:r>
      <w:r>
        <w:rPr>
          <w:rFonts w:ascii="Garamond" w:hAnsi="Garamond"/>
          <w:sz w:val="24"/>
          <w:szCs w:val="24"/>
          <w:lang w:val="en-US"/>
        </w:rPr>
        <w:t xml:space="preserve"> from algal lipids production</w:t>
      </w:r>
    </w:p>
    <w:p w:rsidR="000A2AB6" w:rsidRDefault="000A2AB6" w:rsidP="000A2AB6">
      <w:pPr>
        <w:pStyle w:val="ListParagraph"/>
        <w:numPr>
          <w:ilvl w:val="0"/>
          <w:numId w:val="5"/>
        </w:numPr>
        <w:spacing w:after="0"/>
        <w:ind w:left="360" w:firstLine="0"/>
        <w:rPr>
          <w:rFonts w:ascii="Garamond" w:hAnsi="Garamond"/>
          <w:sz w:val="24"/>
          <w:szCs w:val="24"/>
          <w:lang w:val="en-US"/>
        </w:rPr>
      </w:pPr>
      <w:r>
        <w:rPr>
          <w:rFonts w:ascii="Garamond" w:hAnsi="Garamond"/>
          <w:sz w:val="24"/>
          <w:szCs w:val="24"/>
          <w:lang w:val="en-US"/>
        </w:rPr>
        <w:t>$142</w:t>
      </w:r>
      <w:r w:rsidRPr="00E11097">
        <w:rPr>
          <w:rFonts w:ascii="Garamond" w:hAnsi="Garamond"/>
          <w:sz w:val="24"/>
          <w:szCs w:val="24"/>
          <w:lang w:val="en-US"/>
        </w:rPr>
        <w:t xml:space="preserve"> </w:t>
      </w:r>
      <w:r>
        <w:rPr>
          <w:rFonts w:ascii="Garamond" w:hAnsi="Garamond"/>
          <w:sz w:val="24"/>
          <w:szCs w:val="24"/>
          <w:lang w:val="en-US"/>
        </w:rPr>
        <w:t>acre</w:t>
      </w:r>
      <w:r w:rsidRPr="00F12A14">
        <w:rPr>
          <w:rFonts w:ascii="Garamond" w:hAnsi="Garamond"/>
          <w:sz w:val="24"/>
          <w:szCs w:val="24"/>
          <w:vertAlign w:val="superscript"/>
          <w:lang w:val="en-US"/>
        </w:rPr>
        <w:t>-1</w:t>
      </w:r>
      <w:r>
        <w:rPr>
          <w:rFonts w:ascii="Garamond" w:hAnsi="Garamond"/>
          <w:sz w:val="24"/>
          <w:szCs w:val="24"/>
          <w:lang w:val="en-US"/>
        </w:rPr>
        <w:t xml:space="preserve"> y</w:t>
      </w:r>
      <w:r w:rsidRPr="00F12A14">
        <w:rPr>
          <w:rFonts w:ascii="Garamond" w:hAnsi="Garamond"/>
          <w:sz w:val="24"/>
          <w:szCs w:val="24"/>
          <w:vertAlign w:val="superscript"/>
          <w:lang w:val="en-US"/>
        </w:rPr>
        <w:t>-1</w:t>
      </w:r>
      <w:r>
        <w:rPr>
          <w:rFonts w:ascii="Garamond" w:hAnsi="Garamond"/>
          <w:sz w:val="24"/>
          <w:szCs w:val="24"/>
          <w:lang w:val="en-US"/>
        </w:rPr>
        <w:t xml:space="preserve"> from methane production</w:t>
      </w:r>
    </w:p>
    <w:p w:rsidR="000A2AB6" w:rsidRDefault="000A2AB6" w:rsidP="000A2AB6">
      <w:pPr>
        <w:pStyle w:val="ListParagraph"/>
        <w:numPr>
          <w:ilvl w:val="0"/>
          <w:numId w:val="5"/>
        </w:numPr>
        <w:spacing w:after="0"/>
        <w:ind w:left="360" w:firstLine="0"/>
        <w:rPr>
          <w:rFonts w:ascii="Garamond" w:hAnsi="Garamond"/>
          <w:sz w:val="24"/>
          <w:szCs w:val="24"/>
          <w:lang w:val="en-US"/>
        </w:rPr>
      </w:pPr>
      <w:r>
        <w:rPr>
          <w:rFonts w:ascii="Garamond" w:hAnsi="Garamond"/>
          <w:sz w:val="24"/>
          <w:szCs w:val="24"/>
          <w:lang w:val="en-US"/>
        </w:rPr>
        <w:t>$471</w:t>
      </w:r>
      <w:r w:rsidRPr="00E11097">
        <w:rPr>
          <w:rFonts w:ascii="Garamond" w:hAnsi="Garamond"/>
          <w:sz w:val="24"/>
          <w:szCs w:val="24"/>
          <w:lang w:val="en-US"/>
        </w:rPr>
        <w:t xml:space="preserve"> </w:t>
      </w:r>
      <w:r>
        <w:rPr>
          <w:rFonts w:ascii="Garamond" w:hAnsi="Garamond"/>
          <w:sz w:val="24"/>
          <w:szCs w:val="24"/>
          <w:lang w:val="en-US"/>
        </w:rPr>
        <w:t>acre</w:t>
      </w:r>
      <w:r w:rsidRPr="00F12A14">
        <w:rPr>
          <w:rFonts w:ascii="Garamond" w:hAnsi="Garamond"/>
          <w:sz w:val="24"/>
          <w:szCs w:val="24"/>
          <w:vertAlign w:val="superscript"/>
          <w:lang w:val="en-US"/>
        </w:rPr>
        <w:t>-1</w:t>
      </w:r>
      <w:r>
        <w:rPr>
          <w:rFonts w:ascii="Garamond" w:hAnsi="Garamond"/>
          <w:sz w:val="24"/>
          <w:szCs w:val="24"/>
          <w:lang w:val="en-US"/>
        </w:rPr>
        <w:t xml:space="preserve"> y</w:t>
      </w:r>
      <w:r w:rsidRPr="00F12A14">
        <w:rPr>
          <w:rFonts w:ascii="Garamond" w:hAnsi="Garamond"/>
          <w:sz w:val="24"/>
          <w:szCs w:val="24"/>
          <w:vertAlign w:val="superscript"/>
          <w:lang w:val="en-US"/>
        </w:rPr>
        <w:t>-1</w:t>
      </w:r>
      <w:r>
        <w:rPr>
          <w:rFonts w:ascii="Garamond" w:hAnsi="Garamond"/>
          <w:sz w:val="24"/>
          <w:szCs w:val="24"/>
          <w:lang w:val="en-US"/>
        </w:rPr>
        <w:t xml:space="preserve"> from raw biomass production (animal feed additive, fertilizer production)</w:t>
      </w:r>
    </w:p>
    <w:p w:rsidR="0030516D" w:rsidRDefault="0030516D" w:rsidP="0030516D">
      <w:pPr>
        <w:pStyle w:val="ListParagraph"/>
        <w:spacing w:after="0"/>
        <w:ind w:left="360"/>
        <w:rPr>
          <w:rFonts w:ascii="Garamond" w:hAnsi="Garamond"/>
          <w:sz w:val="24"/>
          <w:szCs w:val="24"/>
          <w:lang w:val="en-US"/>
        </w:rPr>
      </w:pPr>
    </w:p>
    <w:p w:rsidR="00E1230B" w:rsidRDefault="00E1230B" w:rsidP="00E1230B">
      <w:pPr>
        <w:pStyle w:val="ListParagraph"/>
        <w:spacing w:after="0"/>
        <w:ind w:left="360"/>
        <w:rPr>
          <w:rFonts w:ascii="Garamond" w:hAnsi="Garamond"/>
          <w:sz w:val="24"/>
          <w:szCs w:val="24"/>
          <w:lang w:val="en-US"/>
        </w:rPr>
      </w:pPr>
      <w:r>
        <w:rPr>
          <w:rFonts w:ascii="Garamond" w:hAnsi="Garamond"/>
          <w:sz w:val="24"/>
          <w:szCs w:val="24"/>
          <w:lang w:val="en-US"/>
        </w:rPr>
        <w:t>Based on algal lipid production, a Southern US algal lipid pond coverage of 6,600 acres (or 2700 ha) by the end of Year 2 would</w:t>
      </w:r>
      <w:r w:rsidR="006A5DA7">
        <w:rPr>
          <w:rFonts w:ascii="Garamond" w:hAnsi="Garamond"/>
          <w:sz w:val="24"/>
          <w:szCs w:val="24"/>
          <w:lang w:val="en-US"/>
        </w:rPr>
        <w:t xml:space="preserve"> allow for a Break Even of $1M e</w:t>
      </w:r>
      <w:r>
        <w:rPr>
          <w:rFonts w:ascii="Garamond" w:hAnsi="Garamond"/>
          <w:sz w:val="24"/>
          <w:szCs w:val="24"/>
          <w:lang w:val="en-US"/>
        </w:rPr>
        <w:t xml:space="preserve">xpenses per year.  This would produce about 20 million gallons biodiesel per year, satisfying 0.009 % of the US transportation fuel consumption.  </w:t>
      </w:r>
    </w:p>
    <w:p w:rsidR="00E1230B" w:rsidRDefault="00E1230B" w:rsidP="00E1230B">
      <w:pPr>
        <w:pStyle w:val="ListParagraph"/>
        <w:spacing w:after="0"/>
        <w:ind w:left="360"/>
        <w:rPr>
          <w:rFonts w:ascii="Garamond" w:hAnsi="Garamond"/>
          <w:sz w:val="24"/>
          <w:szCs w:val="24"/>
          <w:lang w:val="en-US"/>
        </w:rPr>
      </w:pPr>
    </w:p>
    <w:p w:rsidR="006A5DA7" w:rsidRPr="00E1230B" w:rsidRDefault="006A5DA7" w:rsidP="006A5DA7">
      <w:pPr>
        <w:spacing w:after="120"/>
        <w:ind w:left="360"/>
        <w:rPr>
          <w:rFonts w:ascii="Garamond" w:hAnsi="Garamond"/>
          <w:b/>
          <w:sz w:val="24"/>
          <w:szCs w:val="24"/>
          <w:lang w:val="en-US"/>
        </w:rPr>
      </w:pPr>
      <w:r>
        <w:rPr>
          <w:rFonts w:ascii="Garamond" w:hAnsi="Garamond"/>
          <w:b/>
          <w:sz w:val="24"/>
          <w:szCs w:val="24"/>
          <w:lang w:val="en-US"/>
        </w:rPr>
        <w:t>Phosphorous removal revenue stream</w:t>
      </w:r>
    </w:p>
    <w:p w:rsidR="00CE4A0D" w:rsidRDefault="006A5DA7" w:rsidP="00CE4A0D">
      <w:pPr>
        <w:pStyle w:val="ListParagraph"/>
        <w:spacing w:before="120" w:after="120"/>
        <w:ind w:left="360"/>
        <w:contextualSpacing w:val="0"/>
        <w:rPr>
          <w:rFonts w:ascii="Garamond" w:hAnsi="Garamond"/>
          <w:sz w:val="24"/>
          <w:szCs w:val="24"/>
          <w:lang w:val="en-US"/>
        </w:rPr>
      </w:pPr>
      <w:r>
        <w:rPr>
          <w:rFonts w:ascii="Garamond" w:hAnsi="Garamond"/>
          <w:sz w:val="24"/>
          <w:szCs w:val="24"/>
          <w:lang w:val="en-US"/>
        </w:rPr>
        <w:t>P removal using PIARCS’ license will be</w:t>
      </w:r>
      <w:r w:rsidR="004106B8">
        <w:rPr>
          <w:rFonts w:ascii="Garamond" w:hAnsi="Garamond"/>
          <w:sz w:val="24"/>
          <w:szCs w:val="24"/>
          <w:lang w:val="en-US"/>
        </w:rPr>
        <w:t xml:space="preserve"> charged</w:t>
      </w:r>
      <w:r>
        <w:rPr>
          <w:rFonts w:ascii="Garamond" w:hAnsi="Garamond"/>
          <w:sz w:val="24"/>
          <w:szCs w:val="24"/>
          <w:lang w:val="en-US"/>
        </w:rPr>
        <w:t xml:space="preserve"> </w:t>
      </w:r>
      <w:r w:rsidRPr="006A5DA7">
        <w:rPr>
          <w:rFonts w:ascii="Garamond" w:hAnsi="Garamond"/>
          <w:sz w:val="24"/>
          <w:szCs w:val="24"/>
          <w:lang w:val="en-US"/>
        </w:rPr>
        <w:t>$ 3</w:t>
      </w:r>
      <w:r>
        <w:rPr>
          <w:rFonts w:ascii="Garamond" w:hAnsi="Garamond"/>
          <w:sz w:val="24"/>
          <w:szCs w:val="24"/>
          <w:lang w:val="en-US"/>
        </w:rPr>
        <w:t>7,500/MGD per year</w:t>
      </w:r>
      <w:r w:rsidR="004106B8">
        <w:rPr>
          <w:rFonts w:ascii="Garamond" w:hAnsi="Garamond"/>
          <w:sz w:val="24"/>
          <w:szCs w:val="24"/>
          <w:lang w:val="en-US"/>
        </w:rPr>
        <w:t xml:space="preserve"> to wastewater treatment plants</w:t>
      </w:r>
      <w:r>
        <w:rPr>
          <w:rFonts w:ascii="Garamond" w:hAnsi="Garamond"/>
          <w:sz w:val="24"/>
          <w:szCs w:val="24"/>
          <w:lang w:val="en-US"/>
        </w:rPr>
        <w:t>.  MGD (million gallons per day) describe the plant treatment capacity.</w:t>
      </w:r>
      <w:r w:rsidR="00CE4A0D">
        <w:rPr>
          <w:rFonts w:ascii="Garamond" w:hAnsi="Garamond"/>
          <w:sz w:val="24"/>
          <w:szCs w:val="24"/>
          <w:lang w:val="en-US"/>
        </w:rPr>
        <w:t xml:space="preserve">  </w:t>
      </w:r>
      <w:r w:rsidR="00D55C68">
        <w:rPr>
          <w:rFonts w:ascii="Garamond" w:hAnsi="Garamond"/>
          <w:sz w:val="24"/>
          <w:szCs w:val="24"/>
          <w:lang w:val="en-US"/>
        </w:rPr>
        <w:t>This fee is lower than</w:t>
      </w:r>
      <w:r w:rsidR="00CE4A0D">
        <w:rPr>
          <w:rFonts w:ascii="Garamond" w:hAnsi="Garamond"/>
          <w:sz w:val="24"/>
          <w:szCs w:val="24"/>
          <w:lang w:val="en-US"/>
        </w:rPr>
        <w:t xml:space="preserve"> the </w:t>
      </w:r>
      <w:r w:rsidR="00FB494F">
        <w:rPr>
          <w:rFonts w:ascii="Garamond" w:hAnsi="Garamond"/>
          <w:sz w:val="24"/>
          <w:szCs w:val="24"/>
          <w:lang w:val="en-US"/>
        </w:rPr>
        <w:t xml:space="preserve">chemicals </w:t>
      </w:r>
      <w:r w:rsidR="00CE4A0D">
        <w:rPr>
          <w:rFonts w:ascii="Garamond" w:hAnsi="Garamond"/>
          <w:sz w:val="24"/>
          <w:szCs w:val="24"/>
          <w:lang w:val="en-US"/>
        </w:rPr>
        <w:t xml:space="preserve">expenses associated with </w:t>
      </w:r>
      <w:r w:rsidR="00FB494F">
        <w:rPr>
          <w:rFonts w:ascii="Garamond" w:hAnsi="Garamond"/>
          <w:sz w:val="24"/>
          <w:szCs w:val="24"/>
          <w:lang w:val="en-US"/>
        </w:rPr>
        <w:t>other P removal treatment methods (Ostara struvite production and CoMag).</w:t>
      </w:r>
    </w:p>
    <w:p w:rsidR="006A5DA7" w:rsidRDefault="006A5DA7" w:rsidP="00CE4A0D">
      <w:pPr>
        <w:pStyle w:val="ListParagraph"/>
        <w:spacing w:after="120"/>
        <w:ind w:left="360"/>
        <w:contextualSpacing w:val="0"/>
        <w:rPr>
          <w:rFonts w:ascii="Garamond" w:hAnsi="Garamond"/>
          <w:sz w:val="24"/>
          <w:szCs w:val="24"/>
          <w:lang w:val="en-US"/>
        </w:rPr>
      </w:pPr>
      <w:r>
        <w:rPr>
          <w:rFonts w:ascii="Garamond" w:hAnsi="Garamond"/>
          <w:sz w:val="24"/>
          <w:szCs w:val="24"/>
          <w:lang w:val="en-US"/>
        </w:rPr>
        <w:t xml:space="preserve">The total US capacity is </w:t>
      </w:r>
      <w:r w:rsidRPr="006A5DA7">
        <w:rPr>
          <w:rFonts w:ascii="Garamond" w:hAnsi="Garamond"/>
          <w:sz w:val="24"/>
          <w:szCs w:val="24"/>
          <w:lang w:val="en-US"/>
        </w:rPr>
        <w:t>26,150 MGD (2008)</w:t>
      </w:r>
      <w:r>
        <w:rPr>
          <w:rFonts w:ascii="Garamond" w:hAnsi="Garamond"/>
          <w:sz w:val="24"/>
          <w:szCs w:val="24"/>
          <w:lang w:val="en-US"/>
        </w:rPr>
        <w:t>, and would generate a PIARCS revenue of $ 1 billion per year.  The Boulder, CO wastewater treatment plant capacity of 12.5 MGD would generate $ 470,000 per year, and the South Renton, WA facility</w:t>
      </w:r>
      <w:r w:rsidR="00843E88">
        <w:rPr>
          <w:rFonts w:ascii="Garamond" w:hAnsi="Garamond"/>
          <w:sz w:val="24"/>
          <w:szCs w:val="24"/>
          <w:lang w:val="en-US"/>
        </w:rPr>
        <w:t xml:space="preserve"> of 133 MGD would generate $ 5.0</w:t>
      </w:r>
      <w:r>
        <w:rPr>
          <w:rFonts w:ascii="Garamond" w:hAnsi="Garamond"/>
          <w:sz w:val="24"/>
          <w:szCs w:val="24"/>
          <w:lang w:val="en-US"/>
        </w:rPr>
        <w:t xml:space="preserve"> million per year.  </w:t>
      </w:r>
      <w:r w:rsidR="004106B8">
        <w:rPr>
          <w:rFonts w:ascii="Garamond" w:hAnsi="Garamond"/>
          <w:sz w:val="24"/>
          <w:szCs w:val="24"/>
          <w:lang w:val="en-US"/>
        </w:rPr>
        <w:t>Break-</w:t>
      </w:r>
      <w:r>
        <w:rPr>
          <w:rFonts w:ascii="Garamond" w:hAnsi="Garamond"/>
          <w:sz w:val="24"/>
          <w:szCs w:val="24"/>
          <w:lang w:val="en-US"/>
        </w:rPr>
        <w:t xml:space="preserve">even of $1M Expenses per year would be satisfied by </w:t>
      </w:r>
      <w:r w:rsidR="004106B8">
        <w:rPr>
          <w:rFonts w:ascii="Garamond" w:hAnsi="Garamond"/>
          <w:sz w:val="24"/>
          <w:szCs w:val="24"/>
          <w:lang w:val="en-US"/>
        </w:rPr>
        <w:t>a combined 78 MGD in one or several treatment plants.</w:t>
      </w:r>
    </w:p>
    <w:p w:rsidR="006A5DA7" w:rsidRDefault="006A5DA7" w:rsidP="006A5DA7">
      <w:pPr>
        <w:pStyle w:val="ListParagraph"/>
        <w:spacing w:after="0"/>
        <w:ind w:left="360"/>
        <w:rPr>
          <w:rFonts w:ascii="Garamond" w:hAnsi="Garamond"/>
          <w:sz w:val="24"/>
          <w:szCs w:val="24"/>
          <w:lang w:val="en-US"/>
        </w:rPr>
      </w:pPr>
    </w:p>
    <w:p w:rsidR="006A5DA7" w:rsidRPr="00E1230B" w:rsidRDefault="006A5DA7" w:rsidP="006A5DA7">
      <w:pPr>
        <w:spacing w:after="120"/>
        <w:ind w:left="360"/>
        <w:rPr>
          <w:rFonts w:ascii="Garamond" w:hAnsi="Garamond"/>
          <w:b/>
          <w:sz w:val="24"/>
          <w:szCs w:val="24"/>
          <w:lang w:val="en-US"/>
        </w:rPr>
      </w:pPr>
      <w:r>
        <w:rPr>
          <w:rFonts w:ascii="Garamond" w:hAnsi="Garamond"/>
          <w:b/>
          <w:sz w:val="24"/>
          <w:szCs w:val="24"/>
          <w:lang w:val="en-US"/>
        </w:rPr>
        <w:t>Phosphorous fertilizer revenue stream</w:t>
      </w:r>
    </w:p>
    <w:p w:rsidR="00FB494F" w:rsidRDefault="00B95CE1" w:rsidP="00B95CE1">
      <w:pPr>
        <w:pStyle w:val="ListParagraph"/>
        <w:spacing w:after="120"/>
        <w:ind w:left="360"/>
        <w:contextualSpacing w:val="0"/>
        <w:rPr>
          <w:rFonts w:ascii="Garamond" w:hAnsi="Garamond"/>
          <w:sz w:val="24"/>
          <w:szCs w:val="24"/>
          <w:lang w:val="en-US"/>
        </w:rPr>
      </w:pPr>
      <w:r>
        <w:rPr>
          <w:rFonts w:ascii="Garamond" w:hAnsi="Garamond"/>
          <w:sz w:val="24"/>
          <w:szCs w:val="24"/>
          <w:lang w:val="en-US"/>
        </w:rPr>
        <w:t>PIARCS’ yearly licensing fee will be fixed</w:t>
      </w:r>
      <w:r w:rsidR="00FB494F" w:rsidRPr="006A5DA7">
        <w:rPr>
          <w:rFonts w:ascii="Garamond" w:hAnsi="Garamond"/>
          <w:sz w:val="24"/>
          <w:szCs w:val="24"/>
          <w:lang w:val="en-US"/>
        </w:rPr>
        <w:t xml:space="preserve"> 50 $/ton P</w:t>
      </w:r>
      <w:r>
        <w:rPr>
          <w:rFonts w:ascii="Garamond" w:hAnsi="Garamond"/>
          <w:sz w:val="24"/>
          <w:szCs w:val="24"/>
          <w:lang w:val="en-US"/>
        </w:rPr>
        <w:t>, which will represent an incentive to setup treatment of animal manure.  Indeed, the current unprocessed rock P market price oscillates between $500-1000 ton P, and has reached a peak of $ 3000 in 2008.</w:t>
      </w:r>
    </w:p>
    <w:p w:rsidR="00034C1B" w:rsidRDefault="00FB494F" w:rsidP="00B95CE1">
      <w:pPr>
        <w:pStyle w:val="ListParagraph"/>
        <w:spacing w:after="120"/>
        <w:ind w:left="360"/>
        <w:contextualSpacing w:val="0"/>
        <w:rPr>
          <w:rFonts w:ascii="Garamond" w:hAnsi="Garamond"/>
          <w:sz w:val="24"/>
          <w:szCs w:val="24"/>
          <w:lang w:val="en-US"/>
        </w:rPr>
      </w:pPr>
      <w:r w:rsidRPr="006A5DA7">
        <w:rPr>
          <w:rFonts w:ascii="Garamond" w:hAnsi="Garamond"/>
          <w:sz w:val="24"/>
          <w:szCs w:val="24"/>
          <w:lang w:val="en-US"/>
        </w:rPr>
        <w:t>The US 8 million dairy cows produce about 45,000 tons P</w:t>
      </w:r>
      <w:r w:rsidR="00B95CE1">
        <w:rPr>
          <w:rFonts w:ascii="Garamond" w:hAnsi="Garamond"/>
          <w:sz w:val="24"/>
          <w:szCs w:val="24"/>
          <w:lang w:val="en-US"/>
        </w:rPr>
        <w:t xml:space="preserve"> per year.  </w:t>
      </w:r>
      <w:r w:rsidRPr="006A5DA7">
        <w:rPr>
          <w:rFonts w:ascii="Garamond" w:hAnsi="Garamond"/>
          <w:sz w:val="24"/>
          <w:szCs w:val="24"/>
          <w:lang w:val="en-US"/>
        </w:rPr>
        <w:t>Treating all dairy</w:t>
      </w:r>
      <w:r w:rsidR="00B95CE1">
        <w:rPr>
          <w:rFonts w:ascii="Garamond" w:hAnsi="Garamond"/>
          <w:sz w:val="24"/>
          <w:szCs w:val="24"/>
          <w:lang w:val="en-US"/>
        </w:rPr>
        <w:t xml:space="preserve"> manure to produce P fertilizer would generate a revenue of</w:t>
      </w:r>
      <w:r w:rsidRPr="006A5DA7">
        <w:rPr>
          <w:rFonts w:ascii="Garamond" w:hAnsi="Garamond"/>
          <w:sz w:val="24"/>
          <w:szCs w:val="24"/>
          <w:lang w:val="en-US"/>
        </w:rPr>
        <w:t xml:space="preserve"> $ 2.3 million/year</w:t>
      </w:r>
      <w:r w:rsidR="00B95CE1">
        <w:rPr>
          <w:rFonts w:ascii="Garamond" w:hAnsi="Garamond"/>
          <w:sz w:val="24"/>
          <w:szCs w:val="24"/>
          <w:lang w:val="en-US"/>
        </w:rPr>
        <w:t>.  The US market represents about 2</w:t>
      </w:r>
      <w:r w:rsidRPr="006A5DA7">
        <w:rPr>
          <w:rFonts w:ascii="Garamond" w:hAnsi="Garamond"/>
          <w:sz w:val="24"/>
          <w:szCs w:val="24"/>
          <w:lang w:val="en-US"/>
        </w:rPr>
        <w:t xml:space="preserve"> mil</w:t>
      </w:r>
      <w:r w:rsidR="00B95CE1">
        <w:rPr>
          <w:rFonts w:ascii="Garamond" w:hAnsi="Garamond"/>
          <w:sz w:val="24"/>
          <w:szCs w:val="24"/>
          <w:lang w:val="en-US"/>
        </w:rPr>
        <w:t>lion tons P fertilizer per year, or a revenue of $ 100 million/year.</w:t>
      </w:r>
    </w:p>
    <w:p w:rsidR="005334FD" w:rsidRDefault="005334FD" w:rsidP="00B95CE1">
      <w:pPr>
        <w:pStyle w:val="ListParagraph"/>
        <w:spacing w:after="120"/>
        <w:ind w:left="360"/>
        <w:contextualSpacing w:val="0"/>
        <w:rPr>
          <w:rFonts w:ascii="Garamond" w:hAnsi="Garamond"/>
          <w:sz w:val="24"/>
          <w:szCs w:val="24"/>
          <w:lang w:val="en-US"/>
        </w:rPr>
      </w:pPr>
    </w:p>
    <w:p w:rsidR="005334FD" w:rsidRDefault="005334FD" w:rsidP="00B95CE1">
      <w:pPr>
        <w:pStyle w:val="ListParagraph"/>
        <w:spacing w:after="120"/>
        <w:ind w:left="360"/>
        <w:contextualSpacing w:val="0"/>
        <w:rPr>
          <w:rFonts w:ascii="Garamond" w:hAnsi="Garamond"/>
          <w:sz w:val="24"/>
          <w:szCs w:val="24"/>
          <w:lang w:val="en-US"/>
        </w:rPr>
      </w:pPr>
    </w:p>
    <w:p w:rsidR="005334FD" w:rsidRDefault="005334FD" w:rsidP="00B95CE1">
      <w:pPr>
        <w:pStyle w:val="ListParagraph"/>
        <w:spacing w:after="120"/>
        <w:ind w:left="360"/>
        <w:contextualSpacing w:val="0"/>
        <w:rPr>
          <w:rFonts w:ascii="Garamond" w:hAnsi="Garamond"/>
          <w:sz w:val="24"/>
          <w:szCs w:val="24"/>
          <w:lang w:val="en-US"/>
        </w:rPr>
      </w:pPr>
    </w:p>
    <w:p w:rsidR="00001FB9" w:rsidRPr="00C972BA" w:rsidRDefault="00DF31AD" w:rsidP="00001FB9">
      <w:pPr>
        <w:pStyle w:val="Heading2"/>
        <w:rPr>
          <w:b/>
          <w:color w:val="149346"/>
          <w:lang w:val="en-US"/>
        </w:rPr>
      </w:pPr>
      <w:bookmarkStart w:id="19" w:name="_Toc403474334"/>
      <w:r>
        <w:rPr>
          <w:b/>
          <w:color w:val="149346"/>
          <w:lang w:val="en-US"/>
        </w:rPr>
        <w:t>D</w:t>
      </w:r>
      <w:r w:rsidR="00001FB9" w:rsidRPr="00034C1B">
        <w:rPr>
          <w:b/>
          <w:color w:val="149346"/>
          <w:lang w:val="en-US"/>
        </w:rPr>
        <w:t xml:space="preserve"> </w:t>
      </w:r>
      <w:r w:rsidR="00001FB9" w:rsidRPr="00EC55F5">
        <w:rPr>
          <w:b/>
          <w:color w:val="149346"/>
          <w:lang w:val="en-US"/>
        </w:rPr>
        <w:t>– Projected revenues</w:t>
      </w:r>
      <w:bookmarkEnd w:id="19"/>
    </w:p>
    <w:p w:rsidR="00001FB9" w:rsidRDefault="00001FB9" w:rsidP="00363BEF">
      <w:pPr>
        <w:spacing w:after="120"/>
        <w:rPr>
          <w:rFonts w:ascii="Garamond" w:hAnsi="Garamond"/>
          <w:sz w:val="26"/>
          <w:szCs w:val="26"/>
          <w:u w:val="single"/>
          <w:lang w:val="en-US"/>
        </w:rPr>
      </w:pPr>
    </w:p>
    <w:p w:rsidR="00E23F64" w:rsidRDefault="00E23F64" w:rsidP="00363BEF">
      <w:pPr>
        <w:spacing w:after="120"/>
        <w:ind w:left="360"/>
        <w:rPr>
          <w:rFonts w:ascii="Garamond" w:hAnsi="Garamond"/>
          <w:sz w:val="26"/>
          <w:szCs w:val="26"/>
          <w:lang w:val="en-US"/>
        </w:rPr>
      </w:pPr>
      <w:r>
        <w:rPr>
          <w:rFonts w:ascii="Garamond" w:hAnsi="Garamond"/>
          <w:sz w:val="26"/>
          <w:szCs w:val="26"/>
          <w:lang w:val="en-US"/>
        </w:rPr>
        <w:t xml:space="preserve">Taking the well-documented US &amp; Europe markets </w:t>
      </w:r>
      <w:r w:rsidRPr="00E23F64">
        <w:rPr>
          <w:rFonts w:ascii="Garamond" w:hAnsi="Garamond"/>
          <w:sz w:val="26"/>
          <w:szCs w:val="26"/>
          <w:lang w:val="en-US"/>
        </w:rPr>
        <w:t>as a reference</w:t>
      </w:r>
      <w:r>
        <w:rPr>
          <w:rFonts w:ascii="Garamond" w:hAnsi="Garamond"/>
          <w:sz w:val="26"/>
          <w:szCs w:val="26"/>
          <w:lang w:val="en-US"/>
        </w:rPr>
        <w:t>, t</w:t>
      </w:r>
      <w:r w:rsidR="00135650">
        <w:rPr>
          <w:rFonts w:ascii="Garamond" w:hAnsi="Garamond"/>
          <w:sz w:val="26"/>
          <w:szCs w:val="26"/>
          <w:lang w:val="en-US"/>
        </w:rPr>
        <w:t>he following projections rely on</w:t>
      </w:r>
      <w:r>
        <w:rPr>
          <w:rFonts w:ascii="Garamond" w:hAnsi="Garamond"/>
          <w:sz w:val="26"/>
          <w:szCs w:val="26"/>
          <w:lang w:val="en-US"/>
        </w:rPr>
        <w:t>:</w:t>
      </w:r>
    </w:p>
    <w:p w:rsidR="00E23F64" w:rsidRDefault="00E23F64" w:rsidP="00E23F64">
      <w:pPr>
        <w:pStyle w:val="ListParagraph"/>
        <w:numPr>
          <w:ilvl w:val="0"/>
          <w:numId w:val="5"/>
        </w:numPr>
        <w:spacing w:after="120"/>
        <w:rPr>
          <w:rFonts w:ascii="Garamond" w:hAnsi="Garamond"/>
          <w:sz w:val="26"/>
          <w:szCs w:val="26"/>
          <w:lang w:val="en-US"/>
        </w:rPr>
      </w:pPr>
      <w:r>
        <w:rPr>
          <w:rFonts w:ascii="Garamond" w:hAnsi="Garamond"/>
          <w:sz w:val="26"/>
          <w:szCs w:val="26"/>
          <w:lang w:val="en-US"/>
        </w:rPr>
        <w:t>The early revenue projections detailed in section 1-F.  Namely a Biofuel market entry of 0.012% Biofuel at Year 5</w:t>
      </w:r>
      <w:r w:rsidRPr="00E23F64">
        <w:rPr>
          <w:rFonts w:ascii="Garamond" w:hAnsi="Garamond"/>
          <w:sz w:val="26"/>
          <w:szCs w:val="26"/>
          <w:lang w:val="en-US"/>
        </w:rPr>
        <w:t xml:space="preserve">, </w:t>
      </w:r>
      <w:r>
        <w:rPr>
          <w:rFonts w:ascii="Garamond" w:hAnsi="Garamond"/>
          <w:sz w:val="26"/>
          <w:szCs w:val="26"/>
          <w:lang w:val="en-US"/>
        </w:rPr>
        <w:t>and a Wastewater Treatment market entry of 0.15% at Year 4.</w:t>
      </w:r>
    </w:p>
    <w:p w:rsidR="00E23F64" w:rsidRDefault="00E23F64" w:rsidP="00E23F64">
      <w:pPr>
        <w:pStyle w:val="ListParagraph"/>
        <w:numPr>
          <w:ilvl w:val="0"/>
          <w:numId w:val="5"/>
        </w:numPr>
        <w:spacing w:after="120"/>
        <w:rPr>
          <w:rFonts w:ascii="Garamond" w:hAnsi="Garamond"/>
          <w:sz w:val="26"/>
          <w:szCs w:val="26"/>
          <w:lang w:val="en-US"/>
        </w:rPr>
      </w:pPr>
      <w:r>
        <w:rPr>
          <w:rFonts w:ascii="Garamond" w:hAnsi="Garamond"/>
          <w:sz w:val="26"/>
          <w:szCs w:val="26"/>
          <w:lang w:val="en-US"/>
        </w:rPr>
        <w:t>The Phosphorus fertilizer market penetration is assumed to mirror Phosphorus removal from wastewater, since the latter provides raw material for the former.</w:t>
      </w:r>
    </w:p>
    <w:p w:rsidR="00E23F64" w:rsidRDefault="00E23F64" w:rsidP="000C76C5">
      <w:pPr>
        <w:pStyle w:val="ListParagraph"/>
        <w:numPr>
          <w:ilvl w:val="0"/>
          <w:numId w:val="5"/>
        </w:numPr>
        <w:spacing w:after="120"/>
        <w:rPr>
          <w:rFonts w:ascii="Garamond" w:hAnsi="Garamond"/>
          <w:sz w:val="26"/>
          <w:szCs w:val="26"/>
          <w:lang w:val="en-US"/>
        </w:rPr>
      </w:pPr>
      <w:r>
        <w:rPr>
          <w:rFonts w:ascii="Garamond" w:hAnsi="Garamond"/>
          <w:sz w:val="26"/>
          <w:szCs w:val="26"/>
          <w:lang w:val="en-US"/>
        </w:rPr>
        <w:t>A</w:t>
      </w:r>
      <w:r w:rsidR="00135650" w:rsidRPr="00E23F64">
        <w:rPr>
          <w:rFonts w:ascii="Garamond" w:hAnsi="Garamond"/>
          <w:sz w:val="26"/>
          <w:szCs w:val="26"/>
          <w:lang w:val="en-US"/>
        </w:rPr>
        <w:t xml:space="preserve"> simple yearly doubling rule for market penetration in the US and European markets, once the technology has bee</w:t>
      </w:r>
      <w:r>
        <w:rPr>
          <w:rFonts w:ascii="Garamond" w:hAnsi="Garamond"/>
          <w:sz w:val="26"/>
          <w:szCs w:val="26"/>
          <w:lang w:val="en-US"/>
        </w:rPr>
        <w:t>n validated during the first 4-5</w:t>
      </w:r>
      <w:r w:rsidR="00135650" w:rsidRPr="00E23F64">
        <w:rPr>
          <w:rFonts w:ascii="Garamond" w:hAnsi="Garamond"/>
          <w:sz w:val="26"/>
          <w:szCs w:val="26"/>
          <w:lang w:val="en-US"/>
        </w:rPr>
        <w:t xml:space="preserve"> years of operation.  </w:t>
      </w:r>
    </w:p>
    <w:p w:rsidR="000C76C5" w:rsidRDefault="000C76C5" w:rsidP="000C76C5">
      <w:pPr>
        <w:pStyle w:val="ListParagraph"/>
        <w:spacing w:after="120"/>
        <w:ind w:left="360"/>
        <w:rPr>
          <w:rFonts w:ascii="Garamond" w:hAnsi="Garamond"/>
          <w:sz w:val="26"/>
          <w:szCs w:val="26"/>
          <w:lang w:val="en-US"/>
        </w:rPr>
      </w:pPr>
    </w:p>
    <w:p w:rsidR="00E23F64" w:rsidRDefault="000C76C5" w:rsidP="009670F8">
      <w:pPr>
        <w:pStyle w:val="ListParagraph"/>
        <w:spacing w:after="120"/>
        <w:ind w:left="360"/>
        <w:rPr>
          <w:rFonts w:ascii="Garamond" w:hAnsi="Garamond"/>
          <w:sz w:val="26"/>
          <w:szCs w:val="26"/>
          <w:lang w:val="en-US"/>
        </w:rPr>
      </w:pPr>
      <w:r>
        <w:rPr>
          <w:rFonts w:ascii="Garamond" w:hAnsi="Garamond"/>
          <w:sz w:val="26"/>
          <w:szCs w:val="26"/>
          <w:lang w:val="en-US"/>
        </w:rPr>
        <w:t xml:space="preserve">The time to market entry for PIARCS’ P treatment implementation reflects the </w:t>
      </w:r>
      <w:r w:rsidR="009670F8">
        <w:rPr>
          <w:rFonts w:ascii="Garamond" w:hAnsi="Garamond"/>
          <w:sz w:val="26"/>
          <w:szCs w:val="26"/>
          <w:lang w:val="en-US"/>
        </w:rPr>
        <w:t>timeline provided by the Boulder Wastewater facility for the implementation of Biological Nutrient Removal (</w:t>
      </w:r>
      <w:r w:rsidR="009670F8" w:rsidRPr="009670F8">
        <w:rPr>
          <w:rFonts w:ascii="Garamond" w:hAnsi="Garamond"/>
          <w:sz w:val="26"/>
          <w:szCs w:val="26"/>
          <w:lang w:val="en-US"/>
        </w:rPr>
        <w:t>4-Stage Bardenpho</w:t>
      </w:r>
      <w:r w:rsidR="009670F8">
        <w:rPr>
          <w:rFonts w:ascii="Garamond" w:hAnsi="Garamond"/>
          <w:sz w:val="26"/>
          <w:szCs w:val="26"/>
          <w:lang w:val="en-US"/>
        </w:rPr>
        <w:t xml:space="preserve"> </w:t>
      </w:r>
      <w:r w:rsidR="009670F8" w:rsidRPr="009670F8">
        <w:rPr>
          <w:rFonts w:ascii="Garamond" w:hAnsi="Garamond"/>
          <w:sz w:val="26"/>
          <w:szCs w:val="26"/>
          <w:lang w:val="en-US"/>
        </w:rPr>
        <w:t>with Methanol</w:t>
      </w:r>
      <w:r w:rsidR="009670F8">
        <w:rPr>
          <w:rFonts w:ascii="Garamond" w:hAnsi="Garamond"/>
          <w:sz w:val="26"/>
          <w:szCs w:val="26"/>
          <w:lang w:val="en-US"/>
        </w:rPr>
        <w:t>):</w:t>
      </w:r>
    </w:p>
    <w:p w:rsidR="009670F8" w:rsidRDefault="009670F8" w:rsidP="000C76C5">
      <w:pPr>
        <w:pStyle w:val="ListParagraph"/>
        <w:spacing w:after="120"/>
        <w:ind w:left="360"/>
        <w:rPr>
          <w:rFonts w:ascii="Garamond" w:hAnsi="Garamond"/>
          <w:sz w:val="26"/>
          <w:szCs w:val="26"/>
          <w:lang w:val="en-US"/>
        </w:rPr>
      </w:pPr>
      <w:r w:rsidRPr="009670F8">
        <w:rPr>
          <w:rFonts w:ascii="Garamond" w:hAnsi="Garamond"/>
          <w:sz w:val="26"/>
          <w:szCs w:val="26"/>
          <w:lang w:val="en-US"/>
        </w:rPr>
        <w:t>https://www-static.bouldercolorado.gov/docs/exec-summ-updated-figure-1-201304261113.pdf</w:t>
      </w:r>
    </w:p>
    <w:p w:rsidR="000C76C5" w:rsidRDefault="000C76C5" w:rsidP="000C76C5">
      <w:pPr>
        <w:pStyle w:val="ListParagraph"/>
        <w:spacing w:after="120"/>
        <w:rPr>
          <w:rFonts w:ascii="Garamond" w:hAnsi="Garamond"/>
          <w:sz w:val="26"/>
          <w:szCs w:val="26"/>
          <w:lang w:val="en-US"/>
        </w:rPr>
      </w:pPr>
    </w:p>
    <w:p w:rsidR="00F63C43" w:rsidRDefault="00E7159D" w:rsidP="00001FB9">
      <w:pPr>
        <w:ind w:left="360"/>
        <w:rPr>
          <w:rFonts w:ascii="Garamond" w:hAnsi="Garamond"/>
          <w:sz w:val="26"/>
          <w:szCs w:val="26"/>
          <w:lang w:val="en-US"/>
        </w:rPr>
      </w:pPr>
      <w:r w:rsidRPr="00E7159D">
        <w:rPr>
          <w:noProof/>
          <w:lang w:val="en-US"/>
        </w:rPr>
        <w:drawing>
          <wp:inline distT="0" distB="0" distL="0" distR="0">
            <wp:extent cx="5943600" cy="3157985"/>
            <wp:effectExtent l="0" t="0" r="0"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157985"/>
                    </a:xfrm>
                    <a:prstGeom prst="rect">
                      <a:avLst/>
                    </a:prstGeom>
                    <a:noFill/>
                    <a:ln>
                      <a:noFill/>
                    </a:ln>
                  </pic:spPr>
                </pic:pic>
              </a:graphicData>
            </a:graphic>
          </wp:inline>
        </w:drawing>
      </w:r>
    </w:p>
    <w:p w:rsidR="00F63C43" w:rsidRDefault="00F63C43" w:rsidP="00F63C43">
      <w:pPr>
        <w:spacing w:after="0"/>
        <w:ind w:left="360"/>
        <w:rPr>
          <w:rFonts w:ascii="Garamond" w:hAnsi="Garamond"/>
          <w:sz w:val="26"/>
          <w:szCs w:val="26"/>
          <w:lang w:val="en-US"/>
        </w:rPr>
      </w:pPr>
      <w:r>
        <w:rPr>
          <w:rFonts w:ascii="Garamond" w:hAnsi="Garamond"/>
          <w:b/>
          <w:sz w:val="26"/>
          <w:szCs w:val="26"/>
          <w:lang w:val="en-US"/>
        </w:rPr>
        <w:t>Table 4</w:t>
      </w:r>
      <w:r w:rsidRPr="00833C3E">
        <w:rPr>
          <w:rFonts w:ascii="Garamond" w:hAnsi="Garamond"/>
          <w:b/>
          <w:sz w:val="26"/>
          <w:szCs w:val="26"/>
          <w:lang w:val="en-US"/>
        </w:rPr>
        <w:t xml:space="preserve">. </w:t>
      </w:r>
      <w:r>
        <w:rPr>
          <w:rFonts w:ascii="Garamond" w:hAnsi="Garamond"/>
          <w:b/>
          <w:sz w:val="26"/>
          <w:szCs w:val="26"/>
          <w:lang w:val="en-US"/>
        </w:rPr>
        <w:t>Projected revenues.</w:t>
      </w:r>
      <w:r w:rsidR="00EC55F5">
        <w:rPr>
          <w:rFonts w:ascii="Garamond" w:hAnsi="Garamond"/>
          <w:sz w:val="26"/>
          <w:szCs w:val="26"/>
          <w:lang w:val="en-US"/>
        </w:rPr>
        <w:t xml:space="preserve">  A possible outcome.  Market entry assumptions are highlighted in green, and discussed in Section 1-F.</w:t>
      </w:r>
    </w:p>
    <w:p w:rsidR="005334FD" w:rsidRPr="00E23F64" w:rsidRDefault="005334FD" w:rsidP="005334FD">
      <w:pPr>
        <w:pStyle w:val="ListParagraph"/>
        <w:spacing w:after="120"/>
        <w:ind w:left="360"/>
        <w:rPr>
          <w:rFonts w:ascii="Garamond" w:hAnsi="Garamond"/>
          <w:sz w:val="26"/>
          <w:szCs w:val="26"/>
          <w:lang w:val="en-US"/>
        </w:rPr>
      </w:pPr>
      <w:r w:rsidRPr="00E23F64">
        <w:rPr>
          <w:rFonts w:ascii="Garamond" w:hAnsi="Garamond"/>
          <w:sz w:val="26"/>
          <w:szCs w:val="26"/>
          <w:lang w:val="en-US"/>
        </w:rPr>
        <w:t xml:space="preserve">The actual </w:t>
      </w:r>
      <w:r>
        <w:rPr>
          <w:rFonts w:ascii="Garamond" w:hAnsi="Garamond"/>
          <w:sz w:val="26"/>
          <w:szCs w:val="26"/>
          <w:lang w:val="en-US"/>
        </w:rPr>
        <w:t xml:space="preserve">expansion </w:t>
      </w:r>
      <w:r w:rsidRPr="00E23F64">
        <w:rPr>
          <w:rFonts w:ascii="Garamond" w:hAnsi="Garamond"/>
          <w:sz w:val="26"/>
          <w:szCs w:val="26"/>
          <w:lang w:val="en-US"/>
        </w:rPr>
        <w:t>dynamics are highly uncertain and will depend on the quality of PIARCS’ governance and scientific vision, as well as on external factors such as social approval and industrial responsiveness.</w:t>
      </w:r>
    </w:p>
    <w:p w:rsidR="00DD6D7E" w:rsidRDefault="005334FD" w:rsidP="00B91855">
      <w:pPr>
        <w:spacing w:after="120"/>
        <w:ind w:left="360"/>
        <w:rPr>
          <w:rFonts w:ascii="Garamond" w:hAnsi="Garamond"/>
          <w:sz w:val="26"/>
          <w:szCs w:val="26"/>
          <w:lang w:val="en-US"/>
        </w:rPr>
      </w:pPr>
      <w:r>
        <w:rPr>
          <w:rFonts w:ascii="Garamond" w:hAnsi="Garamond"/>
          <w:sz w:val="26"/>
          <w:szCs w:val="26"/>
          <w:lang w:val="en-US"/>
        </w:rPr>
        <w:t>These projections do not take into account future R&amp;D developments in the wastewater treatment field or in the metabolic engineering field (Systems Biology), which will be actively pursued in the medium term within PIARCS.  In addition, the US and European markets represent only a fraction of the emerging and transitioning global markets targeted by PIARCS.</w:t>
      </w:r>
    </w:p>
    <w:p w:rsidR="00F36C05" w:rsidRDefault="00E7159D" w:rsidP="00F36C05">
      <w:pPr>
        <w:ind w:left="360"/>
        <w:jc w:val="center"/>
        <w:rPr>
          <w:rFonts w:ascii="Garamond" w:hAnsi="Garamond"/>
          <w:sz w:val="26"/>
          <w:szCs w:val="26"/>
          <w:lang w:val="en-US"/>
        </w:rPr>
      </w:pPr>
      <w:r>
        <w:rPr>
          <w:rFonts w:ascii="Garamond" w:hAnsi="Garamond"/>
          <w:noProof/>
          <w:sz w:val="26"/>
          <w:szCs w:val="26"/>
          <w:lang w:val="en-US"/>
        </w:rPr>
        <w:drawing>
          <wp:inline distT="0" distB="0" distL="0" distR="0" wp14:anchorId="1C736D4D">
            <wp:extent cx="3474720" cy="2240917"/>
            <wp:effectExtent l="0" t="0" r="0" b="698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74720" cy="2240917"/>
                    </a:xfrm>
                    <a:prstGeom prst="rect">
                      <a:avLst/>
                    </a:prstGeom>
                    <a:noFill/>
                  </pic:spPr>
                </pic:pic>
              </a:graphicData>
            </a:graphic>
          </wp:inline>
        </w:drawing>
      </w:r>
    </w:p>
    <w:p w:rsidR="005334FD" w:rsidRDefault="00F36C05" w:rsidP="00D21AB5">
      <w:pPr>
        <w:spacing w:after="0"/>
        <w:ind w:left="1350"/>
        <w:rPr>
          <w:rFonts w:ascii="Garamond" w:hAnsi="Garamond"/>
          <w:sz w:val="24"/>
          <w:szCs w:val="24"/>
          <w:lang w:val="en-US"/>
        </w:rPr>
      </w:pPr>
      <w:r>
        <w:rPr>
          <w:rFonts w:ascii="Garamond" w:hAnsi="Garamond"/>
          <w:b/>
          <w:sz w:val="26"/>
          <w:szCs w:val="26"/>
          <w:lang w:val="en-US"/>
        </w:rPr>
        <w:t xml:space="preserve">Figure </w:t>
      </w:r>
      <w:r w:rsidR="00DF0715">
        <w:rPr>
          <w:rFonts w:ascii="Garamond" w:hAnsi="Garamond"/>
          <w:b/>
          <w:sz w:val="26"/>
          <w:szCs w:val="26"/>
          <w:lang w:val="en-US"/>
        </w:rPr>
        <w:t>6</w:t>
      </w:r>
      <w:r w:rsidRPr="00833C3E">
        <w:rPr>
          <w:rFonts w:ascii="Garamond" w:hAnsi="Garamond"/>
          <w:b/>
          <w:sz w:val="26"/>
          <w:szCs w:val="26"/>
          <w:lang w:val="en-US"/>
        </w:rPr>
        <w:t xml:space="preserve">. </w:t>
      </w:r>
      <w:r>
        <w:rPr>
          <w:rFonts w:ascii="Garamond" w:hAnsi="Garamond"/>
          <w:b/>
          <w:sz w:val="26"/>
          <w:szCs w:val="26"/>
          <w:lang w:val="en-US"/>
        </w:rPr>
        <w:t xml:space="preserve">PIARCS’ projected </w:t>
      </w:r>
      <w:r w:rsidR="00244424">
        <w:rPr>
          <w:rFonts w:ascii="Garamond" w:hAnsi="Garamond"/>
          <w:b/>
          <w:sz w:val="26"/>
          <w:szCs w:val="26"/>
          <w:lang w:val="en-US"/>
        </w:rPr>
        <w:t xml:space="preserve">partial </w:t>
      </w:r>
      <w:r>
        <w:rPr>
          <w:rFonts w:ascii="Garamond" w:hAnsi="Garamond"/>
          <w:b/>
          <w:sz w:val="26"/>
          <w:szCs w:val="26"/>
          <w:lang w:val="en-US"/>
        </w:rPr>
        <w:t>revenues</w:t>
      </w:r>
      <w:r w:rsidR="00176098">
        <w:rPr>
          <w:rFonts w:ascii="Garamond" w:hAnsi="Garamond"/>
          <w:b/>
          <w:sz w:val="26"/>
          <w:szCs w:val="26"/>
          <w:lang w:val="en-US"/>
        </w:rPr>
        <w:t xml:space="preserve">.  </w:t>
      </w:r>
      <w:r w:rsidR="00176098">
        <w:rPr>
          <w:rFonts w:ascii="Garamond" w:hAnsi="Garamond"/>
          <w:sz w:val="26"/>
          <w:szCs w:val="26"/>
          <w:lang w:val="en-US"/>
        </w:rPr>
        <w:t>A possible outcome</w:t>
      </w:r>
      <w:r>
        <w:rPr>
          <w:rFonts w:ascii="Garamond" w:hAnsi="Garamond"/>
          <w:sz w:val="26"/>
          <w:szCs w:val="26"/>
          <w:lang w:val="en-US"/>
        </w:rPr>
        <w:t xml:space="preserve"> </w:t>
      </w:r>
      <w:r w:rsidR="005334FD">
        <w:rPr>
          <w:rFonts w:ascii="Garamond" w:hAnsi="Garamond"/>
          <w:sz w:val="24"/>
          <w:szCs w:val="24"/>
          <w:lang w:val="en-US"/>
        </w:rPr>
        <w:br w:type="page"/>
      </w:r>
    </w:p>
    <w:p w:rsidR="007A1FED" w:rsidRDefault="007A1FED" w:rsidP="007A1FED">
      <w:pPr>
        <w:pStyle w:val="ListParagraph"/>
        <w:spacing w:after="120"/>
        <w:ind w:left="360"/>
        <w:contextualSpacing w:val="0"/>
        <w:rPr>
          <w:rFonts w:ascii="Garamond" w:hAnsi="Garamond"/>
          <w:sz w:val="24"/>
          <w:szCs w:val="24"/>
          <w:lang w:val="en-US"/>
        </w:rPr>
      </w:pPr>
    </w:p>
    <w:p w:rsidR="007A1FED" w:rsidRPr="00B95CE1" w:rsidRDefault="007A1FED" w:rsidP="007A1FED">
      <w:pPr>
        <w:keepNext/>
        <w:keepLines/>
        <w:spacing w:before="240" w:after="0"/>
        <w:outlineLvl w:val="0"/>
        <w:rPr>
          <w:rFonts w:ascii="Garamond" w:hAnsi="Garamond"/>
          <w:sz w:val="24"/>
          <w:szCs w:val="24"/>
          <w:lang w:val="en-US"/>
        </w:rPr>
      </w:pPr>
      <w:bookmarkStart w:id="20" w:name="_Toc403474335"/>
      <w:r w:rsidRPr="00FE5480">
        <w:rPr>
          <w:rFonts w:asciiTheme="majorHAnsi" w:eastAsiaTheme="majorEastAsia" w:hAnsiTheme="majorHAnsi" w:cstheme="majorBidi"/>
          <w:b/>
          <w:color w:val="149346"/>
          <w:sz w:val="28"/>
          <w:szCs w:val="28"/>
          <w:lang w:val="en-US"/>
        </w:rPr>
        <w:t xml:space="preserve">Section </w:t>
      </w:r>
      <w:r>
        <w:rPr>
          <w:rFonts w:asciiTheme="majorHAnsi" w:eastAsiaTheme="majorEastAsia" w:hAnsiTheme="majorHAnsi" w:cstheme="majorBidi"/>
          <w:b/>
          <w:color w:val="149346"/>
          <w:sz w:val="28"/>
          <w:szCs w:val="28"/>
          <w:lang w:val="en-US"/>
        </w:rPr>
        <w:t>3</w:t>
      </w:r>
      <w:r w:rsidRPr="00FE5480">
        <w:rPr>
          <w:rFonts w:asciiTheme="majorHAnsi" w:eastAsiaTheme="majorEastAsia" w:hAnsiTheme="majorHAnsi" w:cstheme="majorBidi"/>
          <w:b/>
          <w:color w:val="149346"/>
          <w:sz w:val="28"/>
          <w:szCs w:val="28"/>
          <w:lang w:val="en-US"/>
        </w:rPr>
        <w:t xml:space="preserve">: </w:t>
      </w:r>
      <w:r w:rsidR="00410599">
        <w:rPr>
          <w:rFonts w:asciiTheme="majorHAnsi" w:eastAsiaTheme="majorEastAsia" w:hAnsiTheme="majorHAnsi" w:cstheme="majorBidi"/>
          <w:b/>
          <w:color w:val="149346"/>
          <w:sz w:val="28"/>
          <w:szCs w:val="28"/>
          <w:lang w:val="en-US"/>
        </w:rPr>
        <w:t xml:space="preserve">Dividends, </w:t>
      </w:r>
      <w:r w:rsidR="008F438F">
        <w:rPr>
          <w:rFonts w:asciiTheme="majorHAnsi" w:eastAsiaTheme="majorEastAsia" w:hAnsiTheme="majorHAnsi" w:cstheme="majorBidi"/>
          <w:b/>
          <w:color w:val="149346"/>
          <w:sz w:val="28"/>
          <w:szCs w:val="28"/>
          <w:lang w:val="en-US"/>
        </w:rPr>
        <w:t>R</w:t>
      </w:r>
      <w:r>
        <w:rPr>
          <w:rFonts w:asciiTheme="majorHAnsi" w:eastAsiaTheme="majorEastAsia" w:hAnsiTheme="majorHAnsi" w:cstheme="majorBidi"/>
          <w:b/>
          <w:color w:val="149346"/>
          <w:sz w:val="28"/>
          <w:szCs w:val="28"/>
          <w:lang w:val="en-US"/>
        </w:rPr>
        <w:t>isk</w:t>
      </w:r>
      <w:r w:rsidR="008F438F">
        <w:rPr>
          <w:rFonts w:asciiTheme="majorHAnsi" w:eastAsiaTheme="majorEastAsia" w:hAnsiTheme="majorHAnsi" w:cstheme="majorBidi"/>
          <w:b/>
          <w:color w:val="149346"/>
          <w:sz w:val="28"/>
          <w:szCs w:val="28"/>
          <w:lang w:val="en-US"/>
        </w:rPr>
        <w:t>, Valuation</w:t>
      </w:r>
      <w:r w:rsidR="005B3082">
        <w:rPr>
          <w:rFonts w:asciiTheme="majorHAnsi" w:eastAsiaTheme="majorEastAsia" w:hAnsiTheme="majorHAnsi" w:cstheme="majorBidi"/>
          <w:b/>
          <w:color w:val="149346"/>
          <w:sz w:val="28"/>
          <w:szCs w:val="28"/>
          <w:lang w:val="en-US"/>
        </w:rPr>
        <w:t>, Investment rounds</w:t>
      </w:r>
      <w:r w:rsidR="006D578A">
        <w:rPr>
          <w:rFonts w:asciiTheme="majorHAnsi" w:eastAsiaTheme="majorEastAsia" w:hAnsiTheme="majorHAnsi" w:cstheme="majorBidi"/>
          <w:b/>
          <w:color w:val="149346"/>
          <w:sz w:val="28"/>
          <w:szCs w:val="28"/>
          <w:lang w:val="en-US"/>
        </w:rPr>
        <w:t xml:space="preserve"> and Corporate </w:t>
      </w:r>
      <w:r w:rsidR="005B3082">
        <w:rPr>
          <w:rFonts w:asciiTheme="majorHAnsi" w:eastAsiaTheme="majorEastAsia" w:hAnsiTheme="majorHAnsi" w:cstheme="majorBidi"/>
          <w:b/>
          <w:color w:val="149346"/>
          <w:sz w:val="28"/>
          <w:szCs w:val="28"/>
          <w:lang w:val="en-US"/>
        </w:rPr>
        <w:t>s</w:t>
      </w:r>
      <w:r w:rsidR="006D578A">
        <w:rPr>
          <w:rFonts w:asciiTheme="majorHAnsi" w:eastAsiaTheme="majorEastAsia" w:hAnsiTheme="majorHAnsi" w:cstheme="majorBidi"/>
          <w:b/>
          <w:color w:val="149346"/>
          <w:sz w:val="28"/>
          <w:szCs w:val="28"/>
          <w:lang w:val="en-US"/>
        </w:rPr>
        <w:t>tructure</w:t>
      </w:r>
      <w:bookmarkEnd w:id="20"/>
    </w:p>
    <w:p w:rsidR="00001FB9" w:rsidRDefault="00001FB9" w:rsidP="00001FB9">
      <w:pPr>
        <w:rPr>
          <w:rFonts w:ascii="Garamond" w:hAnsi="Garamond"/>
          <w:sz w:val="26"/>
          <w:szCs w:val="26"/>
          <w:lang w:val="en-US"/>
        </w:rPr>
      </w:pPr>
    </w:p>
    <w:p w:rsidR="00001FB9" w:rsidRPr="00C972BA" w:rsidRDefault="007A1FED" w:rsidP="00001FB9">
      <w:pPr>
        <w:pStyle w:val="Heading2"/>
        <w:rPr>
          <w:b/>
          <w:color w:val="149346"/>
          <w:lang w:val="en-US"/>
        </w:rPr>
      </w:pPr>
      <w:bookmarkStart w:id="21" w:name="_Toc403474336"/>
      <w:r>
        <w:rPr>
          <w:b/>
          <w:color w:val="149346"/>
          <w:lang w:val="en-US"/>
        </w:rPr>
        <w:t>A</w:t>
      </w:r>
      <w:r w:rsidR="00001FB9" w:rsidRPr="00034C1B">
        <w:rPr>
          <w:b/>
          <w:color w:val="149346"/>
          <w:lang w:val="en-US"/>
        </w:rPr>
        <w:t xml:space="preserve"> </w:t>
      </w:r>
      <w:r w:rsidR="00001FB9">
        <w:rPr>
          <w:b/>
          <w:color w:val="149346"/>
          <w:lang w:val="en-US"/>
        </w:rPr>
        <w:t>–</w:t>
      </w:r>
      <w:r w:rsidR="00001FB9" w:rsidRPr="00034C1B">
        <w:rPr>
          <w:b/>
          <w:color w:val="149346"/>
          <w:lang w:val="en-US"/>
        </w:rPr>
        <w:t xml:space="preserve"> </w:t>
      </w:r>
      <w:r w:rsidR="00001FB9">
        <w:rPr>
          <w:b/>
          <w:color w:val="149346"/>
          <w:lang w:val="en-US"/>
        </w:rPr>
        <w:t>Proposed dividend returns structure</w:t>
      </w:r>
      <w:bookmarkEnd w:id="21"/>
    </w:p>
    <w:p w:rsidR="00001FB9" w:rsidRDefault="00001FB9" w:rsidP="00001FB9">
      <w:pPr>
        <w:spacing w:after="0"/>
        <w:rPr>
          <w:rFonts w:ascii="Garamond" w:hAnsi="Garamond"/>
          <w:sz w:val="26"/>
          <w:szCs w:val="26"/>
          <w:u w:val="single"/>
          <w:lang w:val="en-US"/>
        </w:rPr>
      </w:pPr>
    </w:p>
    <w:p w:rsidR="008A150E" w:rsidRDefault="00E13709" w:rsidP="001808A0">
      <w:pPr>
        <w:ind w:left="360"/>
        <w:rPr>
          <w:rFonts w:ascii="Garamond" w:hAnsi="Garamond"/>
          <w:sz w:val="26"/>
          <w:szCs w:val="26"/>
          <w:lang w:val="en-US"/>
        </w:rPr>
      </w:pPr>
      <w:r w:rsidRPr="00E13709">
        <w:rPr>
          <w:rFonts w:ascii="Garamond" w:hAnsi="Garamond"/>
          <w:sz w:val="26"/>
          <w:szCs w:val="26"/>
          <w:lang w:val="en-US"/>
        </w:rPr>
        <w:t>The contractual dividend structure, provided as an amendment to PIARCS’ Certificate of Incorporation</w:t>
      </w:r>
      <w:r w:rsidR="00195C2C">
        <w:rPr>
          <w:rFonts w:ascii="Garamond" w:hAnsi="Garamond"/>
          <w:sz w:val="26"/>
          <w:szCs w:val="26"/>
          <w:lang w:val="en-US"/>
        </w:rPr>
        <w:t xml:space="preserve"> (COI)</w:t>
      </w:r>
      <w:r w:rsidRPr="00E13709">
        <w:rPr>
          <w:rFonts w:ascii="Garamond" w:hAnsi="Garamond"/>
          <w:sz w:val="26"/>
          <w:szCs w:val="26"/>
          <w:lang w:val="en-US"/>
        </w:rPr>
        <w:t>, was designed</w:t>
      </w:r>
      <w:r>
        <w:rPr>
          <w:rFonts w:ascii="Garamond" w:hAnsi="Garamond"/>
          <w:sz w:val="26"/>
          <w:szCs w:val="26"/>
          <w:lang w:val="en-US"/>
        </w:rPr>
        <w:t xml:space="preserve"> to ensure investors high</w:t>
      </w:r>
      <w:r w:rsidR="008A150E">
        <w:rPr>
          <w:rFonts w:ascii="Garamond" w:hAnsi="Garamond"/>
          <w:sz w:val="26"/>
          <w:szCs w:val="26"/>
          <w:lang w:val="en-US"/>
        </w:rPr>
        <w:t xml:space="preserve"> returns</w:t>
      </w:r>
      <w:r>
        <w:rPr>
          <w:rFonts w:ascii="Garamond" w:hAnsi="Garamond"/>
          <w:sz w:val="26"/>
          <w:szCs w:val="26"/>
          <w:lang w:val="en-US"/>
        </w:rPr>
        <w:t xml:space="preserve"> </w:t>
      </w:r>
      <w:r w:rsidR="008A150E">
        <w:rPr>
          <w:rFonts w:ascii="Garamond" w:hAnsi="Garamond"/>
          <w:sz w:val="26"/>
          <w:szCs w:val="26"/>
          <w:lang w:val="en-US"/>
        </w:rPr>
        <w:t xml:space="preserve">without </w:t>
      </w:r>
      <w:r>
        <w:rPr>
          <w:rFonts w:ascii="Garamond" w:hAnsi="Garamond"/>
          <w:sz w:val="26"/>
          <w:szCs w:val="26"/>
          <w:lang w:val="en-US"/>
        </w:rPr>
        <w:t>hindering PIARCS’</w:t>
      </w:r>
      <w:r w:rsidR="008A150E">
        <w:rPr>
          <w:rFonts w:ascii="Garamond" w:hAnsi="Garamond"/>
          <w:sz w:val="26"/>
          <w:szCs w:val="26"/>
          <w:lang w:val="en-US"/>
        </w:rPr>
        <w:t xml:space="preserve"> primary focus of global market expansion.</w:t>
      </w:r>
      <w:r w:rsidR="00373E9D">
        <w:rPr>
          <w:rFonts w:ascii="Garamond" w:hAnsi="Garamond"/>
          <w:sz w:val="26"/>
          <w:szCs w:val="26"/>
          <w:lang w:val="en-US"/>
        </w:rPr>
        <w:t xml:space="preserve">  </w:t>
      </w:r>
      <w:r w:rsidR="00195C2C">
        <w:rPr>
          <w:rFonts w:ascii="Garamond" w:hAnsi="Garamond"/>
          <w:sz w:val="26"/>
          <w:szCs w:val="26"/>
          <w:lang w:val="en-US"/>
        </w:rPr>
        <w:t>Below is a simplified and explicated version of the COI dividend structure.</w:t>
      </w:r>
      <w:r w:rsidR="00B44A2A">
        <w:rPr>
          <w:rFonts w:ascii="Garamond" w:hAnsi="Garamond"/>
          <w:sz w:val="26"/>
          <w:szCs w:val="26"/>
          <w:lang w:val="en-US"/>
        </w:rPr>
        <w:t xml:space="preserve">  An example dividend accrual spreadsheet is provided in the Financial Projections, and the corresponding guidelines are provided in the Business Plan Appendix</w:t>
      </w:r>
      <w:r w:rsidR="00655E65">
        <w:rPr>
          <w:rFonts w:ascii="Garamond" w:hAnsi="Garamond"/>
          <w:sz w:val="26"/>
          <w:szCs w:val="26"/>
          <w:lang w:val="en-US"/>
        </w:rPr>
        <w:t>.</w:t>
      </w:r>
    </w:p>
    <w:p w:rsidR="005111FC" w:rsidRDefault="005111FC" w:rsidP="005111FC">
      <w:pPr>
        <w:pStyle w:val="Heading3"/>
        <w:numPr>
          <w:ilvl w:val="0"/>
          <w:numId w:val="29"/>
        </w:numPr>
        <w:spacing w:before="0" w:after="120"/>
        <w:rPr>
          <w:color w:val="149346"/>
          <w:lang w:val="en-US"/>
        </w:rPr>
      </w:pPr>
      <w:bookmarkStart w:id="22" w:name="_Toc403474337"/>
      <w:r>
        <w:rPr>
          <w:color w:val="149346"/>
          <w:lang w:val="en-US"/>
        </w:rPr>
        <w:t>Some key definitions</w:t>
      </w:r>
      <w:bookmarkEnd w:id="22"/>
    </w:p>
    <w:p w:rsidR="0098061C" w:rsidRDefault="0098061C" w:rsidP="005111FC">
      <w:pPr>
        <w:ind w:left="360"/>
        <w:rPr>
          <w:rFonts w:ascii="Garamond" w:hAnsi="Garamond"/>
          <w:sz w:val="26"/>
          <w:szCs w:val="26"/>
          <w:lang w:val="en-US"/>
        </w:rPr>
      </w:pPr>
      <w:r w:rsidRPr="0098061C">
        <w:rPr>
          <w:rFonts w:ascii="Garamond" w:hAnsi="Garamond"/>
          <w:sz w:val="26"/>
          <w:szCs w:val="26"/>
          <w:lang w:val="en-US"/>
        </w:rPr>
        <w:t>“</w:t>
      </w:r>
      <w:r>
        <w:rPr>
          <w:rFonts w:ascii="Garamond" w:hAnsi="Garamond"/>
          <w:b/>
          <w:sz w:val="26"/>
          <w:szCs w:val="26"/>
          <w:lang w:val="en-US"/>
        </w:rPr>
        <w:t>ANI</w:t>
      </w:r>
      <w:r w:rsidRPr="0098061C">
        <w:rPr>
          <w:rFonts w:ascii="Garamond" w:hAnsi="Garamond"/>
          <w:sz w:val="26"/>
          <w:szCs w:val="26"/>
          <w:lang w:val="en-US"/>
        </w:rPr>
        <w:t>” means</w:t>
      </w:r>
      <w:r>
        <w:rPr>
          <w:rFonts w:ascii="Garamond" w:hAnsi="Garamond"/>
          <w:sz w:val="26"/>
          <w:szCs w:val="26"/>
          <w:lang w:val="en-US"/>
        </w:rPr>
        <w:t xml:space="preserve"> Annual Net Income calculated in accordance with </w:t>
      </w:r>
      <w:r w:rsidRPr="0098061C">
        <w:rPr>
          <w:rFonts w:ascii="Garamond" w:hAnsi="Garamond"/>
          <w:sz w:val="26"/>
          <w:szCs w:val="26"/>
          <w:lang w:val="en-US"/>
        </w:rPr>
        <w:t>generally accepted accounting principles</w:t>
      </w:r>
      <w:r>
        <w:rPr>
          <w:rFonts w:ascii="Garamond" w:hAnsi="Garamond"/>
          <w:sz w:val="26"/>
          <w:szCs w:val="26"/>
          <w:lang w:val="en-US"/>
        </w:rPr>
        <w:t xml:space="preserve"> (U.S.)</w:t>
      </w:r>
    </w:p>
    <w:p w:rsidR="00285BC9" w:rsidRDefault="00195C2C" w:rsidP="005111FC">
      <w:pPr>
        <w:ind w:left="360"/>
        <w:rPr>
          <w:rFonts w:ascii="Garamond" w:hAnsi="Garamond"/>
          <w:sz w:val="26"/>
          <w:szCs w:val="26"/>
          <w:lang w:val="en-US"/>
        </w:rPr>
      </w:pPr>
      <w:r>
        <w:rPr>
          <w:rFonts w:ascii="Garamond" w:hAnsi="Garamond"/>
          <w:sz w:val="26"/>
          <w:szCs w:val="26"/>
          <w:lang w:val="en-US"/>
        </w:rPr>
        <w:t>“</w:t>
      </w:r>
      <w:r w:rsidRPr="00195C2C">
        <w:rPr>
          <w:rFonts w:ascii="Garamond" w:hAnsi="Garamond"/>
          <w:b/>
          <w:sz w:val="26"/>
          <w:szCs w:val="26"/>
          <w:lang w:val="en-US"/>
        </w:rPr>
        <w:t>Capital Return Date</w:t>
      </w:r>
      <w:r w:rsidRPr="00195C2C">
        <w:rPr>
          <w:rFonts w:ascii="Garamond" w:hAnsi="Garamond"/>
          <w:sz w:val="26"/>
          <w:szCs w:val="26"/>
          <w:lang w:val="en-US"/>
        </w:rPr>
        <w:t>” means the last day of the fiscal year in which all of the Preferred Holders have accrued (whether or not paid) divi</w:t>
      </w:r>
      <w:r w:rsidR="00285BC9">
        <w:rPr>
          <w:rFonts w:ascii="Garamond" w:hAnsi="Garamond"/>
          <w:sz w:val="26"/>
          <w:szCs w:val="26"/>
          <w:lang w:val="en-US"/>
        </w:rPr>
        <w:t>dends in an amount equal to their initial investment.</w:t>
      </w:r>
    </w:p>
    <w:p w:rsidR="005111FC" w:rsidRPr="005111FC" w:rsidRDefault="005111FC" w:rsidP="005111FC">
      <w:pPr>
        <w:ind w:left="360"/>
        <w:rPr>
          <w:rFonts w:ascii="Garamond" w:hAnsi="Garamond"/>
          <w:sz w:val="26"/>
          <w:szCs w:val="26"/>
          <w:lang w:val="en-US"/>
        </w:rPr>
      </w:pPr>
      <w:r w:rsidRPr="005111FC">
        <w:rPr>
          <w:rFonts w:ascii="Garamond" w:hAnsi="Garamond"/>
          <w:sz w:val="26"/>
          <w:szCs w:val="26"/>
          <w:lang w:val="en-US"/>
        </w:rPr>
        <w:t>“</w:t>
      </w:r>
      <w:r w:rsidRPr="005111FC">
        <w:rPr>
          <w:rFonts w:ascii="Garamond" w:hAnsi="Garamond"/>
          <w:b/>
          <w:sz w:val="26"/>
          <w:szCs w:val="26"/>
          <w:lang w:val="en-US"/>
        </w:rPr>
        <w:t>Common Holder</w:t>
      </w:r>
      <w:r w:rsidRPr="005111FC">
        <w:rPr>
          <w:rFonts w:ascii="Garamond" w:hAnsi="Garamond"/>
          <w:sz w:val="26"/>
          <w:szCs w:val="26"/>
          <w:lang w:val="en-US"/>
        </w:rPr>
        <w:t>” means each holder of a share of Common Stock.</w:t>
      </w:r>
    </w:p>
    <w:p w:rsidR="005111FC" w:rsidRDefault="005111FC" w:rsidP="005111FC">
      <w:pPr>
        <w:ind w:left="360"/>
        <w:rPr>
          <w:rFonts w:ascii="Garamond" w:hAnsi="Garamond"/>
          <w:sz w:val="26"/>
          <w:szCs w:val="26"/>
          <w:lang w:val="en-US"/>
        </w:rPr>
      </w:pPr>
      <w:r w:rsidRPr="005111FC">
        <w:rPr>
          <w:rFonts w:ascii="Garamond" w:hAnsi="Garamond"/>
          <w:sz w:val="26"/>
          <w:szCs w:val="26"/>
          <w:lang w:val="en-US"/>
        </w:rPr>
        <w:t>“</w:t>
      </w:r>
      <w:r w:rsidRPr="005111FC">
        <w:rPr>
          <w:rFonts w:ascii="Garamond" w:hAnsi="Garamond"/>
          <w:b/>
          <w:sz w:val="26"/>
          <w:szCs w:val="26"/>
          <w:lang w:val="en-US"/>
        </w:rPr>
        <w:t>Common Stock</w:t>
      </w:r>
      <w:r w:rsidRPr="005111FC">
        <w:rPr>
          <w:rFonts w:ascii="Garamond" w:hAnsi="Garamond"/>
          <w:sz w:val="26"/>
          <w:szCs w:val="26"/>
          <w:lang w:val="en-US"/>
        </w:rPr>
        <w:t xml:space="preserve">” has the meaning set forth </w:t>
      </w:r>
      <w:r w:rsidR="00B32582">
        <w:rPr>
          <w:rFonts w:ascii="Garamond" w:hAnsi="Garamond"/>
          <w:sz w:val="26"/>
          <w:szCs w:val="26"/>
          <w:lang w:val="en-US"/>
        </w:rPr>
        <w:t>below (Section 3 A-c</w:t>
      </w:r>
      <w:r w:rsidR="00333A0C" w:rsidRPr="00333A0C">
        <w:rPr>
          <w:rFonts w:ascii="Garamond" w:hAnsi="Garamond"/>
          <w:sz w:val="26"/>
          <w:szCs w:val="26"/>
          <w:lang w:val="en-US"/>
        </w:rPr>
        <w:t>)</w:t>
      </w:r>
    </w:p>
    <w:p w:rsidR="005111FC" w:rsidRPr="005111FC" w:rsidRDefault="005111FC" w:rsidP="005111FC">
      <w:pPr>
        <w:ind w:left="360"/>
        <w:rPr>
          <w:rFonts w:ascii="Garamond" w:hAnsi="Garamond"/>
          <w:sz w:val="26"/>
          <w:szCs w:val="26"/>
          <w:lang w:val="en-US"/>
        </w:rPr>
      </w:pPr>
      <w:r w:rsidRPr="005111FC">
        <w:rPr>
          <w:rFonts w:ascii="Garamond" w:hAnsi="Garamond"/>
          <w:sz w:val="26"/>
          <w:szCs w:val="26"/>
          <w:lang w:val="en-US"/>
        </w:rPr>
        <w:t>“</w:t>
      </w:r>
      <w:r w:rsidRPr="005111FC">
        <w:rPr>
          <w:rFonts w:ascii="Garamond" w:hAnsi="Garamond"/>
          <w:b/>
          <w:sz w:val="26"/>
          <w:szCs w:val="26"/>
          <w:lang w:val="en-US"/>
        </w:rPr>
        <w:t>Dividend</w:t>
      </w:r>
      <w:r w:rsidRPr="005111FC">
        <w:rPr>
          <w:rFonts w:ascii="Garamond" w:hAnsi="Garamond"/>
          <w:sz w:val="26"/>
          <w:szCs w:val="26"/>
          <w:lang w:val="en-US"/>
        </w:rPr>
        <w:t>”</w:t>
      </w:r>
      <w:r w:rsidR="00DA3D94">
        <w:rPr>
          <w:rFonts w:ascii="Garamond" w:hAnsi="Garamond"/>
          <w:sz w:val="26"/>
          <w:szCs w:val="26"/>
          <w:lang w:val="en-US"/>
        </w:rPr>
        <w:t xml:space="preserve"> or “</w:t>
      </w:r>
      <w:r w:rsidR="00DA3D94" w:rsidRPr="00DA3D94">
        <w:rPr>
          <w:rFonts w:ascii="Garamond" w:hAnsi="Garamond"/>
          <w:b/>
          <w:sz w:val="26"/>
          <w:szCs w:val="26"/>
          <w:lang w:val="en-US"/>
        </w:rPr>
        <w:t>Div</w:t>
      </w:r>
      <w:r w:rsidR="00DA3D94">
        <w:rPr>
          <w:rFonts w:ascii="Garamond" w:hAnsi="Garamond"/>
          <w:sz w:val="26"/>
          <w:szCs w:val="26"/>
          <w:lang w:val="en-US"/>
        </w:rPr>
        <w:t>”</w:t>
      </w:r>
      <w:r w:rsidRPr="005111FC">
        <w:rPr>
          <w:rFonts w:ascii="Garamond" w:hAnsi="Garamond"/>
          <w:sz w:val="26"/>
          <w:szCs w:val="26"/>
          <w:lang w:val="en-US"/>
        </w:rPr>
        <w:t xml:space="preserve"> means yearly Dividend.</w:t>
      </w:r>
    </w:p>
    <w:p w:rsidR="005111FC" w:rsidRPr="005111FC" w:rsidRDefault="005111FC" w:rsidP="005111FC">
      <w:pPr>
        <w:ind w:left="360"/>
        <w:rPr>
          <w:rFonts w:ascii="Garamond" w:hAnsi="Garamond"/>
          <w:sz w:val="26"/>
          <w:szCs w:val="26"/>
          <w:lang w:val="en-US"/>
        </w:rPr>
      </w:pPr>
      <w:r w:rsidRPr="005111FC">
        <w:rPr>
          <w:rFonts w:ascii="Garamond" w:hAnsi="Garamond"/>
          <w:sz w:val="26"/>
          <w:szCs w:val="26"/>
          <w:lang w:val="en-US"/>
        </w:rPr>
        <w:t>“</w:t>
      </w:r>
      <w:r w:rsidRPr="005111FC">
        <w:rPr>
          <w:rFonts w:ascii="Garamond" w:hAnsi="Garamond"/>
          <w:b/>
          <w:sz w:val="26"/>
          <w:szCs w:val="26"/>
          <w:lang w:val="en-US"/>
        </w:rPr>
        <w:t>div_TSC</w:t>
      </w:r>
      <w:r w:rsidRPr="005111FC">
        <w:rPr>
          <w:rFonts w:ascii="Garamond" w:hAnsi="Garamond"/>
          <w:sz w:val="26"/>
          <w:szCs w:val="26"/>
          <w:lang w:val="en-US"/>
        </w:rPr>
        <w:t>” means the aggregate number of dividend-accruing shares of Common Stock issued and outstanding at the end of each fiscal year.</w:t>
      </w:r>
      <w:r w:rsidR="00CD50CC">
        <w:rPr>
          <w:rFonts w:ascii="Garamond" w:hAnsi="Garamond"/>
          <w:sz w:val="26"/>
          <w:szCs w:val="26"/>
          <w:lang w:val="en-US"/>
        </w:rPr>
        <w:t xml:space="preserve">  Div_TSC ranges from 0 to TSC, once all Common Stocks have become </w:t>
      </w:r>
      <w:r w:rsidR="00CD50CC" w:rsidRPr="00CD50CC">
        <w:rPr>
          <w:rFonts w:ascii="Garamond" w:hAnsi="Garamond"/>
          <w:sz w:val="26"/>
          <w:szCs w:val="26"/>
          <w:lang w:val="en-US"/>
        </w:rPr>
        <w:t>dividend-accruing stocks</w:t>
      </w:r>
      <w:r w:rsidR="00CD50CC">
        <w:rPr>
          <w:rFonts w:ascii="Garamond" w:hAnsi="Garamond"/>
          <w:sz w:val="26"/>
          <w:szCs w:val="26"/>
          <w:lang w:val="en-US"/>
        </w:rPr>
        <w:t>, subject to significant income of the corporation</w:t>
      </w:r>
      <w:r w:rsidR="00B32582">
        <w:rPr>
          <w:rFonts w:ascii="Garamond" w:hAnsi="Garamond"/>
          <w:sz w:val="26"/>
          <w:szCs w:val="26"/>
          <w:lang w:val="en-US"/>
        </w:rPr>
        <w:t xml:space="preserve"> (see</w:t>
      </w:r>
      <w:r w:rsidR="00B32582" w:rsidRPr="00B32582">
        <w:rPr>
          <w:lang w:val="en-US"/>
        </w:rPr>
        <w:t xml:space="preserve"> </w:t>
      </w:r>
      <w:r w:rsidR="00B32582">
        <w:rPr>
          <w:rFonts w:ascii="Garamond" w:hAnsi="Garamond"/>
          <w:sz w:val="26"/>
          <w:szCs w:val="26"/>
          <w:lang w:val="en-US"/>
        </w:rPr>
        <w:t>Section 3 A-b</w:t>
      </w:r>
      <w:r w:rsidR="009806E8">
        <w:rPr>
          <w:rFonts w:ascii="Garamond" w:hAnsi="Garamond"/>
          <w:sz w:val="26"/>
          <w:szCs w:val="26"/>
          <w:lang w:val="en-US"/>
        </w:rPr>
        <w:t xml:space="preserve"> below)</w:t>
      </w:r>
      <w:r w:rsidR="00CD50CC">
        <w:rPr>
          <w:rFonts w:ascii="Garamond" w:hAnsi="Garamond"/>
          <w:sz w:val="26"/>
          <w:szCs w:val="26"/>
          <w:lang w:val="en-US"/>
        </w:rPr>
        <w:t>.</w:t>
      </w:r>
      <w:r w:rsidR="00FE0BB1">
        <w:rPr>
          <w:rFonts w:ascii="Garamond" w:hAnsi="Garamond"/>
          <w:sz w:val="26"/>
          <w:szCs w:val="26"/>
          <w:lang w:val="en-US"/>
        </w:rPr>
        <w:t xml:space="preserve">  </w:t>
      </w:r>
    </w:p>
    <w:p w:rsidR="005111FC" w:rsidRDefault="005111FC" w:rsidP="005111FC">
      <w:pPr>
        <w:ind w:left="360"/>
        <w:rPr>
          <w:rFonts w:ascii="Garamond" w:hAnsi="Garamond"/>
          <w:sz w:val="26"/>
          <w:szCs w:val="26"/>
          <w:lang w:val="en-US"/>
        </w:rPr>
      </w:pPr>
      <w:r w:rsidRPr="005111FC">
        <w:rPr>
          <w:rFonts w:ascii="Garamond" w:hAnsi="Garamond"/>
          <w:sz w:val="26"/>
          <w:szCs w:val="26"/>
          <w:lang w:val="en-US"/>
        </w:rPr>
        <w:t>“</w:t>
      </w:r>
      <w:r w:rsidRPr="005111FC">
        <w:rPr>
          <w:rFonts w:ascii="Garamond" w:hAnsi="Garamond"/>
          <w:b/>
          <w:sz w:val="26"/>
          <w:szCs w:val="26"/>
          <w:lang w:val="en-US"/>
        </w:rPr>
        <w:t>Floating</w:t>
      </w:r>
      <w:r w:rsidRPr="005111FC">
        <w:rPr>
          <w:rFonts w:ascii="Garamond" w:hAnsi="Garamond"/>
          <w:sz w:val="26"/>
          <w:szCs w:val="26"/>
          <w:lang w:val="en-US"/>
        </w:rPr>
        <w:t xml:space="preserve"> </w:t>
      </w:r>
      <w:r w:rsidRPr="005111FC">
        <w:rPr>
          <w:rFonts w:ascii="Garamond" w:hAnsi="Garamond"/>
          <w:b/>
          <w:sz w:val="26"/>
          <w:szCs w:val="26"/>
          <w:lang w:val="en-US"/>
        </w:rPr>
        <w:t>Threshold</w:t>
      </w:r>
      <w:r w:rsidRPr="005111FC">
        <w:rPr>
          <w:rFonts w:ascii="Garamond" w:hAnsi="Garamond"/>
          <w:sz w:val="26"/>
          <w:szCs w:val="26"/>
          <w:lang w:val="en-US"/>
        </w:rPr>
        <w:t xml:space="preserve">” </w:t>
      </w:r>
      <w:r w:rsidR="00931AA6">
        <w:rPr>
          <w:rFonts w:ascii="Garamond" w:hAnsi="Garamond"/>
          <w:sz w:val="26"/>
          <w:szCs w:val="26"/>
          <w:lang w:val="en-US"/>
        </w:rPr>
        <w:t>or “</w:t>
      </w:r>
      <w:r w:rsidR="00931AA6" w:rsidRPr="00931AA6">
        <w:rPr>
          <w:rFonts w:ascii="Garamond" w:hAnsi="Garamond"/>
          <w:b/>
          <w:sz w:val="26"/>
          <w:szCs w:val="26"/>
          <w:lang w:val="en-US"/>
        </w:rPr>
        <w:t>FT</w:t>
      </w:r>
      <w:r w:rsidR="00931AA6">
        <w:rPr>
          <w:rFonts w:ascii="Garamond" w:hAnsi="Garamond"/>
          <w:sz w:val="26"/>
          <w:szCs w:val="26"/>
          <w:lang w:val="en-US"/>
        </w:rPr>
        <w:t xml:space="preserve">” </w:t>
      </w:r>
      <w:r w:rsidRPr="005111FC">
        <w:rPr>
          <w:rFonts w:ascii="Garamond" w:hAnsi="Garamond"/>
          <w:sz w:val="26"/>
          <w:szCs w:val="26"/>
          <w:lang w:val="en-US"/>
        </w:rPr>
        <w:t>means the product of Original Value multiplied by TSF.</w:t>
      </w:r>
      <w:r w:rsidR="00BF2219">
        <w:rPr>
          <w:rFonts w:ascii="Garamond" w:hAnsi="Garamond"/>
          <w:sz w:val="26"/>
          <w:szCs w:val="26"/>
          <w:lang w:val="en-US"/>
        </w:rPr>
        <w:t xml:space="preserve">  The floating threshold value ranges from $</w:t>
      </w:r>
      <w:r w:rsidR="007E3FBF">
        <w:rPr>
          <w:rFonts w:ascii="Garamond" w:hAnsi="Garamond"/>
          <w:sz w:val="26"/>
          <w:szCs w:val="26"/>
          <w:lang w:val="en-US"/>
        </w:rPr>
        <w:t>0.</w:t>
      </w:r>
      <w:r w:rsidR="005334FD">
        <w:rPr>
          <w:rFonts w:ascii="Garamond" w:hAnsi="Garamond"/>
          <w:sz w:val="26"/>
          <w:szCs w:val="26"/>
          <w:lang w:val="en-US"/>
        </w:rPr>
        <w:t>5</w:t>
      </w:r>
      <w:r w:rsidR="001B5390">
        <w:rPr>
          <w:rFonts w:ascii="Garamond" w:hAnsi="Garamond"/>
          <w:sz w:val="26"/>
          <w:szCs w:val="26"/>
          <w:lang w:val="en-US"/>
        </w:rPr>
        <w:t>M</w:t>
      </w:r>
      <w:r w:rsidR="007E3FBF">
        <w:rPr>
          <w:rFonts w:ascii="Garamond" w:hAnsi="Garamond"/>
          <w:sz w:val="26"/>
          <w:szCs w:val="26"/>
          <w:lang w:val="en-US"/>
        </w:rPr>
        <w:t xml:space="preserve"> at Year 1 to $</w:t>
      </w:r>
      <w:r w:rsidR="005334FD">
        <w:rPr>
          <w:rFonts w:ascii="Garamond" w:hAnsi="Garamond"/>
          <w:sz w:val="26"/>
          <w:szCs w:val="26"/>
          <w:lang w:val="en-US"/>
        </w:rPr>
        <w:t>2.5</w:t>
      </w:r>
      <w:r w:rsidR="00BF2219">
        <w:rPr>
          <w:rFonts w:ascii="Garamond" w:hAnsi="Garamond"/>
          <w:sz w:val="26"/>
          <w:szCs w:val="26"/>
          <w:lang w:val="en-US"/>
        </w:rPr>
        <w:t>M once all Common Stocks have become dividend-accruing stocks</w:t>
      </w:r>
      <w:r w:rsidR="009806E8">
        <w:rPr>
          <w:rFonts w:ascii="Garamond" w:hAnsi="Garamond"/>
          <w:sz w:val="26"/>
          <w:szCs w:val="26"/>
          <w:lang w:val="en-US"/>
        </w:rPr>
        <w:t xml:space="preserve"> </w:t>
      </w:r>
      <w:r w:rsidR="00DA3D94">
        <w:rPr>
          <w:rFonts w:ascii="Garamond" w:hAnsi="Garamond"/>
          <w:sz w:val="26"/>
          <w:szCs w:val="26"/>
          <w:lang w:val="en-US"/>
        </w:rPr>
        <w:t>(</w:t>
      </w:r>
      <w:r w:rsidR="00DA3D94" w:rsidRPr="00B32582">
        <w:rPr>
          <w:rFonts w:ascii="Garamond" w:hAnsi="Garamond"/>
          <w:sz w:val="26"/>
          <w:szCs w:val="26"/>
          <w:lang w:val="en-US"/>
        </w:rPr>
        <w:t xml:space="preserve">see </w:t>
      </w:r>
      <w:r w:rsidR="00B32582" w:rsidRPr="00B32582">
        <w:rPr>
          <w:rFonts w:ascii="Garamond" w:hAnsi="Garamond"/>
          <w:sz w:val="26"/>
          <w:szCs w:val="26"/>
          <w:lang w:val="en-US"/>
        </w:rPr>
        <w:t>Section 3 A</w:t>
      </w:r>
      <w:r w:rsidR="009806E8" w:rsidRPr="00B32582">
        <w:rPr>
          <w:rFonts w:ascii="Garamond" w:hAnsi="Garamond"/>
          <w:sz w:val="26"/>
          <w:szCs w:val="26"/>
          <w:lang w:val="en-US"/>
        </w:rPr>
        <w:t>-c below)</w:t>
      </w:r>
      <w:r w:rsidR="00BF2219" w:rsidRPr="00B32582">
        <w:rPr>
          <w:rFonts w:ascii="Garamond" w:hAnsi="Garamond"/>
          <w:sz w:val="26"/>
          <w:szCs w:val="26"/>
          <w:lang w:val="en-US"/>
        </w:rPr>
        <w:t>.</w:t>
      </w:r>
      <w:r w:rsidR="00BF2219">
        <w:rPr>
          <w:rFonts w:ascii="Garamond" w:hAnsi="Garamond"/>
          <w:sz w:val="26"/>
          <w:szCs w:val="26"/>
          <w:lang w:val="en-US"/>
        </w:rPr>
        <w:t xml:space="preserve">  </w:t>
      </w:r>
    </w:p>
    <w:p w:rsidR="001B5390" w:rsidRPr="005111FC" w:rsidRDefault="001B5390" w:rsidP="005111FC">
      <w:pPr>
        <w:ind w:left="360"/>
        <w:rPr>
          <w:rFonts w:ascii="Garamond" w:hAnsi="Garamond"/>
          <w:sz w:val="26"/>
          <w:szCs w:val="26"/>
          <w:lang w:val="en-US"/>
        </w:rPr>
      </w:pPr>
      <w:r w:rsidRPr="001B5390">
        <w:rPr>
          <w:rFonts w:ascii="Garamond" w:hAnsi="Garamond"/>
          <w:sz w:val="26"/>
          <w:szCs w:val="26"/>
          <w:lang w:val="en-US"/>
        </w:rPr>
        <w:t>“</w:t>
      </w:r>
      <w:r w:rsidRPr="001B5390">
        <w:rPr>
          <w:rFonts w:ascii="Garamond" w:hAnsi="Garamond"/>
          <w:b/>
          <w:sz w:val="26"/>
          <w:szCs w:val="26"/>
          <w:lang w:val="en-US"/>
        </w:rPr>
        <w:t>Original Value</w:t>
      </w:r>
      <w:r w:rsidRPr="001B5390">
        <w:rPr>
          <w:rFonts w:ascii="Garamond" w:hAnsi="Garamond"/>
          <w:sz w:val="26"/>
          <w:szCs w:val="26"/>
          <w:lang w:val="en-US"/>
        </w:rPr>
        <w:t xml:space="preserve">” </w:t>
      </w:r>
      <w:r w:rsidR="007E3FBF" w:rsidRPr="007E3FBF">
        <w:rPr>
          <w:rFonts w:ascii="Garamond" w:hAnsi="Garamond"/>
          <w:sz w:val="26"/>
          <w:szCs w:val="26"/>
          <w:lang w:val="en-US"/>
        </w:rPr>
        <w:t>shall mean $</w:t>
      </w:r>
      <w:r w:rsidR="005334FD">
        <w:rPr>
          <w:rFonts w:ascii="Garamond" w:hAnsi="Garamond"/>
          <w:sz w:val="26"/>
          <w:szCs w:val="26"/>
          <w:lang w:val="en-US"/>
        </w:rPr>
        <w:t>25</w:t>
      </w:r>
      <w:r w:rsidR="007E3FBF" w:rsidRPr="007E3FBF">
        <w:rPr>
          <w:rFonts w:ascii="Garamond" w:hAnsi="Garamond"/>
          <w:sz w:val="26"/>
          <w:szCs w:val="26"/>
          <w:lang w:val="en-US"/>
        </w:rPr>
        <w:t xml:space="preserve"> per share of Series A Preferred Stock.</w:t>
      </w:r>
    </w:p>
    <w:p w:rsidR="005111FC" w:rsidRPr="005111FC" w:rsidRDefault="00521D50" w:rsidP="005111FC">
      <w:pPr>
        <w:ind w:left="360"/>
        <w:rPr>
          <w:rFonts w:ascii="Garamond" w:hAnsi="Garamond"/>
          <w:sz w:val="26"/>
          <w:szCs w:val="26"/>
          <w:lang w:val="en-US"/>
        </w:rPr>
      </w:pPr>
      <w:r w:rsidRPr="005111FC">
        <w:rPr>
          <w:rFonts w:ascii="Garamond" w:hAnsi="Garamond"/>
          <w:sz w:val="26"/>
          <w:szCs w:val="26"/>
          <w:lang w:val="en-US"/>
        </w:rPr>
        <w:t xml:space="preserve"> </w:t>
      </w:r>
      <w:r w:rsidR="005111FC" w:rsidRPr="005111FC">
        <w:rPr>
          <w:rFonts w:ascii="Garamond" w:hAnsi="Garamond"/>
          <w:sz w:val="26"/>
          <w:szCs w:val="26"/>
          <w:lang w:val="en-US"/>
        </w:rPr>
        <w:t>“</w:t>
      </w:r>
      <w:r w:rsidR="005111FC" w:rsidRPr="005111FC">
        <w:rPr>
          <w:rFonts w:ascii="Garamond" w:hAnsi="Garamond"/>
          <w:b/>
          <w:sz w:val="26"/>
          <w:szCs w:val="26"/>
          <w:lang w:val="en-US"/>
        </w:rPr>
        <w:t>Preferred Holder</w:t>
      </w:r>
      <w:r w:rsidR="005111FC" w:rsidRPr="005111FC">
        <w:rPr>
          <w:rFonts w:ascii="Garamond" w:hAnsi="Garamond"/>
          <w:sz w:val="26"/>
          <w:szCs w:val="26"/>
          <w:lang w:val="en-US"/>
        </w:rPr>
        <w:t>” means each holder of a share of Series A Preferred Stock.</w:t>
      </w:r>
    </w:p>
    <w:p w:rsidR="005111FC" w:rsidRDefault="00521D50" w:rsidP="005111FC">
      <w:pPr>
        <w:ind w:left="360"/>
        <w:rPr>
          <w:rFonts w:ascii="Garamond" w:hAnsi="Garamond"/>
          <w:sz w:val="26"/>
          <w:szCs w:val="26"/>
          <w:lang w:val="en-US"/>
        </w:rPr>
      </w:pPr>
      <w:r w:rsidRPr="005111FC">
        <w:rPr>
          <w:rFonts w:ascii="Garamond" w:hAnsi="Garamond"/>
          <w:sz w:val="26"/>
          <w:szCs w:val="26"/>
          <w:lang w:val="en-US"/>
        </w:rPr>
        <w:t xml:space="preserve"> </w:t>
      </w:r>
      <w:r w:rsidR="005111FC" w:rsidRPr="005111FC">
        <w:rPr>
          <w:rFonts w:ascii="Garamond" w:hAnsi="Garamond"/>
          <w:sz w:val="26"/>
          <w:szCs w:val="26"/>
          <w:lang w:val="en-US"/>
        </w:rPr>
        <w:t>“</w:t>
      </w:r>
      <w:r w:rsidR="005111FC" w:rsidRPr="005111FC">
        <w:rPr>
          <w:rFonts w:ascii="Garamond" w:hAnsi="Garamond"/>
          <w:b/>
          <w:sz w:val="26"/>
          <w:szCs w:val="26"/>
          <w:lang w:val="en-US"/>
        </w:rPr>
        <w:t>Series A Preferred Stock</w:t>
      </w:r>
      <w:r w:rsidR="00DA3D94">
        <w:rPr>
          <w:rFonts w:ascii="Garamond" w:hAnsi="Garamond"/>
          <w:sz w:val="26"/>
          <w:szCs w:val="26"/>
          <w:lang w:val="en-US"/>
        </w:rPr>
        <w:t>” has the meanin</w:t>
      </w:r>
      <w:r w:rsidR="00B32582">
        <w:rPr>
          <w:rFonts w:ascii="Garamond" w:hAnsi="Garamond"/>
          <w:sz w:val="26"/>
          <w:szCs w:val="26"/>
          <w:lang w:val="en-US"/>
        </w:rPr>
        <w:t>g set forth below (Section 3 A-b</w:t>
      </w:r>
      <w:r w:rsidR="00DA3D94">
        <w:rPr>
          <w:rFonts w:ascii="Garamond" w:hAnsi="Garamond"/>
          <w:sz w:val="26"/>
          <w:szCs w:val="26"/>
          <w:lang w:val="en-US"/>
        </w:rPr>
        <w:t>)</w:t>
      </w:r>
    </w:p>
    <w:p w:rsidR="00DA576B" w:rsidRPr="00DA576B" w:rsidRDefault="00DA576B" w:rsidP="00DA576B">
      <w:pPr>
        <w:ind w:left="360"/>
        <w:rPr>
          <w:rFonts w:ascii="Garamond" w:hAnsi="Garamond"/>
          <w:sz w:val="26"/>
          <w:szCs w:val="26"/>
          <w:lang w:val="en-US"/>
        </w:rPr>
      </w:pPr>
      <w:r w:rsidRPr="00DA576B">
        <w:rPr>
          <w:rFonts w:ascii="Garamond" w:hAnsi="Garamond"/>
          <w:sz w:val="26"/>
          <w:szCs w:val="26"/>
          <w:lang w:val="en-US"/>
        </w:rPr>
        <w:t>“</w:t>
      </w:r>
      <w:r w:rsidRPr="00DA576B">
        <w:rPr>
          <w:rFonts w:ascii="Garamond" w:hAnsi="Garamond"/>
          <w:b/>
          <w:sz w:val="26"/>
          <w:szCs w:val="26"/>
          <w:lang w:val="en-US"/>
        </w:rPr>
        <w:t>TSC</w:t>
      </w:r>
      <w:r w:rsidRPr="00DA576B">
        <w:rPr>
          <w:rFonts w:ascii="Garamond" w:hAnsi="Garamond"/>
          <w:sz w:val="26"/>
          <w:szCs w:val="26"/>
          <w:lang w:val="en-US"/>
        </w:rPr>
        <w:t>” means the aggregate number of shares of Common Stock issued and outstanding at the end of each fiscal year</w:t>
      </w:r>
    </w:p>
    <w:p w:rsidR="00DA576B" w:rsidRPr="00DA576B" w:rsidRDefault="00DA576B" w:rsidP="00DA576B">
      <w:pPr>
        <w:ind w:left="360"/>
        <w:rPr>
          <w:rFonts w:ascii="Garamond" w:hAnsi="Garamond"/>
          <w:sz w:val="26"/>
          <w:szCs w:val="26"/>
          <w:lang w:val="en-US"/>
        </w:rPr>
      </w:pPr>
      <w:r w:rsidRPr="00DA576B">
        <w:rPr>
          <w:rFonts w:ascii="Garamond" w:hAnsi="Garamond"/>
          <w:sz w:val="26"/>
          <w:szCs w:val="26"/>
          <w:lang w:val="en-US"/>
        </w:rPr>
        <w:t>“</w:t>
      </w:r>
      <w:r w:rsidRPr="00DA576B">
        <w:rPr>
          <w:rFonts w:ascii="Garamond" w:hAnsi="Garamond"/>
          <w:b/>
          <w:sz w:val="26"/>
          <w:szCs w:val="26"/>
          <w:lang w:val="en-US"/>
        </w:rPr>
        <w:t>TSP</w:t>
      </w:r>
      <w:r w:rsidRPr="00DA576B">
        <w:rPr>
          <w:rFonts w:ascii="Garamond" w:hAnsi="Garamond"/>
          <w:sz w:val="26"/>
          <w:szCs w:val="26"/>
          <w:lang w:val="en-US"/>
        </w:rPr>
        <w:t>” means the aggregate number of shares of Series A Preferred Stock issued and outstanding at the end of each fiscal year.</w:t>
      </w:r>
    </w:p>
    <w:p w:rsidR="00025D42" w:rsidRDefault="00DA576B" w:rsidP="0011287B">
      <w:pPr>
        <w:ind w:left="360"/>
        <w:rPr>
          <w:rFonts w:ascii="Garamond" w:hAnsi="Garamond"/>
          <w:sz w:val="26"/>
          <w:szCs w:val="26"/>
          <w:lang w:val="en-US"/>
        </w:rPr>
      </w:pPr>
      <w:r w:rsidRPr="00DA576B">
        <w:rPr>
          <w:rFonts w:ascii="Garamond" w:hAnsi="Garamond"/>
          <w:sz w:val="26"/>
          <w:szCs w:val="26"/>
          <w:lang w:val="en-US"/>
        </w:rPr>
        <w:t>“</w:t>
      </w:r>
      <w:r w:rsidRPr="00DA576B">
        <w:rPr>
          <w:rFonts w:ascii="Garamond" w:hAnsi="Garamond"/>
          <w:b/>
          <w:sz w:val="26"/>
          <w:szCs w:val="26"/>
          <w:lang w:val="en-US"/>
        </w:rPr>
        <w:t>TSF</w:t>
      </w:r>
      <w:r w:rsidRPr="00DA576B">
        <w:rPr>
          <w:rFonts w:ascii="Garamond" w:hAnsi="Garamond"/>
          <w:sz w:val="26"/>
          <w:szCs w:val="26"/>
          <w:lang w:val="en-US"/>
        </w:rPr>
        <w:t>” means the aggregate number of shares of Series A Preferred Stock issued and outstanding at the end of each fiscal year</w:t>
      </w:r>
      <w:r w:rsidR="002C7766">
        <w:rPr>
          <w:rFonts w:ascii="Garamond" w:hAnsi="Garamond"/>
          <w:sz w:val="26"/>
          <w:szCs w:val="26"/>
          <w:lang w:val="en-US"/>
        </w:rPr>
        <w:t xml:space="preserve"> (or </w:t>
      </w:r>
      <w:r w:rsidR="002C7766" w:rsidRPr="002C7766">
        <w:rPr>
          <w:rFonts w:ascii="Garamond" w:hAnsi="Garamond"/>
          <w:b/>
          <w:sz w:val="26"/>
          <w:szCs w:val="26"/>
          <w:lang w:val="en-US"/>
        </w:rPr>
        <w:t>TSP</w:t>
      </w:r>
      <w:r w:rsidR="002C7766">
        <w:rPr>
          <w:rFonts w:ascii="Garamond" w:hAnsi="Garamond"/>
          <w:sz w:val="26"/>
          <w:szCs w:val="26"/>
          <w:lang w:val="en-US"/>
        </w:rPr>
        <w:t>)</w:t>
      </w:r>
      <w:r w:rsidRPr="00DA576B">
        <w:rPr>
          <w:rFonts w:ascii="Garamond" w:hAnsi="Garamond"/>
          <w:sz w:val="26"/>
          <w:szCs w:val="26"/>
          <w:lang w:val="en-US"/>
        </w:rPr>
        <w:t xml:space="preserve"> added to the aggregate number of shares of dividend-accruing Common Stock issued and outstanding </w:t>
      </w:r>
      <w:r w:rsidR="00FE0BB1">
        <w:rPr>
          <w:rFonts w:ascii="Garamond" w:hAnsi="Garamond"/>
          <w:sz w:val="26"/>
          <w:szCs w:val="26"/>
          <w:lang w:val="en-US"/>
        </w:rPr>
        <w:t>at the end of each fiscal year</w:t>
      </w:r>
      <w:r w:rsidR="002C7766">
        <w:rPr>
          <w:rFonts w:ascii="Garamond" w:hAnsi="Garamond"/>
          <w:sz w:val="26"/>
          <w:szCs w:val="26"/>
          <w:lang w:val="en-US"/>
        </w:rPr>
        <w:t xml:space="preserve"> (or </w:t>
      </w:r>
      <w:r w:rsidR="002C7766" w:rsidRPr="002C7766">
        <w:rPr>
          <w:rFonts w:ascii="Garamond" w:hAnsi="Garamond"/>
          <w:b/>
          <w:sz w:val="26"/>
          <w:szCs w:val="26"/>
          <w:lang w:val="en-US"/>
        </w:rPr>
        <w:t>div_TSC</w:t>
      </w:r>
      <w:r w:rsidR="002C7766">
        <w:rPr>
          <w:rFonts w:ascii="Garamond" w:hAnsi="Garamond"/>
          <w:sz w:val="26"/>
          <w:szCs w:val="26"/>
          <w:lang w:val="en-US"/>
        </w:rPr>
        <w:t>)</w:t>
      </w:r>
      <w:r w:rsidR="00FE0BB1">
        <w:rPr>
          <w:rFonts w:ascii="Garamond" w:hAnsi="Garamond"/>
          <w:sz w:val="26"/>
          <w:szCs w:val="26"/>
          <w:lang w:val="en-US"/>
        </w:rPr>
        <w:t>.  Such that TSF = TSP + div_TSC</w:t>
      </w:r>
      <w:r w:rsidR="00AE067A">
        <w:rPr>
          <w:rFonts w:ascii="Garamond" w:hAnsi="Garamond"/>
          <w:sz w:val="26"/>
          <w:szCs w:val="26"/>
          <w:lang w:val="en-US"/>
        </w:rPr>
        <w:t>.</w:t>
      </w:r>
      <w:r w:rsidR="005334FD" w:rsidRPr="005334FD">
        <w:rPr>
          <w:noProof/>
          <w:lang w:val="en-US"/>
        </w:rPr>
        <w:drawing>
          <wp:inline distT="0" distB="0" distL="0" distR="0">
            <wp:extent cx="2962275" cy="11525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62275" cy="1152525"/>
                    </a:xfrm>
                    <a:prstGeom prst="rect">
                      <a:avLst/>
                    </a:prstGeom>
                    <a:noFill/>
                    <a:ln>
                      <a:noFill/>
                    </a:ln>
                  </pic:spPr>
                </pic:pic>
              </a:graphicData>
            </a:graphic>
          </wp:inline>
        </w:drawing>
      </w:r>
    </w:p>
    <w:p w:rsidR="0011287B" w:rsidRDefault="0011287B" w:rsidP="0011287B">
      <w:pPr>
        <w:ind w:left="360"/>
        <w:rPr>
          <w:rFonts w:ascii="Garamond" w:hAnsi="Garamond"/>
          <w:sz w:val="26"/>
          <w:szCs w:val="26"/>
          <w:lang w:val="en-US"/>
        </w:rPr>
      </w:pPr>
    </w:p>
    <w:p w:rsidR="00A742CB" w:rsidRDefault="00A742CB" w:rsidP="00A742CB">
      <w:pPr>
        <w:pStyle w:val="Heading3"/>
        <w:numPr>
          <w:ilvl w:val="0"/>
          <w:numId w:val="29"/>
        </w:numPr>
        <w:spacing w:before="0" w:after="120"/>
        <w:rPr>
          <w:color w:val="149346"/>
          <w:lang w:val="en-US"/>
        </w:rPr>
      </w:pPr>
      <w:bookmarkStart w:id="23" w:name="_Toc403474338"/>
      <w:r w:rsidRPr="00A742CB">
        <w:rPr>
          <w:color w:val="149346"/>
          <w:lang w:val="en-US"/>
        </w:rPr>
        <w:t>Dividends on Series A Preferred Stock</w:t>
      </w:r>
      <w:bookmarkEnd w:id="23"/>
    </w:p>
    <w:p w:rsidR="005111FC" w:rsidRDefault="00373E9D" w:rsidP="005111FC">
      <w:pPr>
        <w:ind w:left="360"/>
        <w:rPr>
          <w:rFonts w:ascii="Garamond" w:hAnsi="Garamond"/>
          <w:sz w:val="26"/>
          <w:szCs w:val="26"/>
          <w:lang w:val="en-US"/>
        </w:rPr>
      </w:pPr>
      <w:r w:rsidRPr="00373E9D">
        <w:rPr>
          <w:rFonts w:ascii="Garamond" w:hAnsi="Garamond"/>
          <w:sz w:val="26"/>
          <w:szCs w:val="26"/>
          <w:lang w:val="en-US"/>
        </w:rPr>
        <w:t>Preferred Holders shall be entitled to receive, and the Corporation shall pay out of funds legally available therefor, cumulative preferred dividends in an amount per share equal to the Dividend/TSF, payable in cash</w:t>
      </w:r>
      <w:r w:rsidR="00195C2C">
        <w:rPr>
          <w:rFonts w:ascii="Garamond" w:hAnsi="Garamond"/>
          <w:sz w:val="26"/>
          <w:szCs w:val="26"/>
          <w:lang w:val="en-US"/>
        </w:rPr>
        <w:t>:</w:t>
      </w:r>
    </w:p>
    <w:p w:rsidR="00850F86" w:rsidRDefault="00850F86" w:rsidP="00850F86">
      <w:pPr>
        <w:pStyle w:val="ListParagraph"/>
        <w:numPr>
          <w:ilvl w:val="0"/>
          <w:numId w:val="5"/>
        </w:numPr>
        <w:rPr>
          <w:rFonts w:ascii="Garamond" w:hAnsi="Garamond"/>
          <w:sz w:val="26"/>
          <w:szCs w:val="26"/>
          <w:lang w:val="en-US"/>
        </w:rPr>
      </w:pPr>
      <w:r w:rsidRPr="00850F86">
        <w:rPr>
          <w:rFonts w:ascii="Garamond" w:hAnsi="Garamond"/>
          <w:sz w:val="26"/>
          <w:szCs w:val="26"/>
          <w:lang w:val="en-US"/>
        </w:rPr>
        <w:t xml:space="preserve">Beginning on the third anniversary of the Original Issue Date and ending on the </w:t>
      </w:r>
      <w:r>
        <w:rPr>
          <w:rFonts w:ascii="Garamond" w:hAnsi="Garamond"/>
          <w:sz w:val="26"/>
          <w:szCs w:val="26"/>
          <w:lang w:val="en-US"/>
        </w:rPr>
        <w:t>“Capital Return Date”</w:t>
      </w:r>
      <w:r w:rsidRPr="00850F86">
        <w:rPr>
          <w:rFonts w:ascii="Garamond" w:hAnsi="Garamond"/>
          <w:sz w:val="26"/>
          <w:szCs w:val="26"/>
          <w:lang w:val="en-US"/>
        </w:rPr>
        <w:t>, the Dividend is equal to 25% of the Corporation’s</w:t>
      </w:r>
      <w:r w:rsidR="0045590E">
        <w:rPr>
          <w:rFonts w:ascii="Garamond" w:hAnsi="Garamond"/>
          <w:sz w:val="26"/>
          <w:szCs w:val="26"/>
          <w:lang w:val="en-US"/>
        </w:rPr>
        <w:t xml:space="preserve"> ANI.</w:t>
      </w:r>
    </w:p>
    <w:p w:rsidR="0045590E" w:rsidRPr="00850F86" w:rsidRDefault="00CD1959" w:rsidP="00CD1959">
      <w:pPr>
        <w:pStyle w:val="ListParagraph"/>
        <w:numPr>
          <w:ilvl w:val="0"/>
          <w:numId w:val="5"/>
        </w:numPr>
        <w:rPr>
          <w:rFonts w:ascii="Garamond" w:hAnsi="Garamond"/>
          <w:sz w:val="26"/>
          <w:szCs w:val="26"/>
          <w:lang w:val="en-US"/>
        </w:rPr>
      </w:pPr>
      <w:r w:rsidRPr="00CD1959">
        <w:rPr>
          <w:rFonts w:ascii="Garamond" w:hAnsi="Garamond"/>
          <w:sz w:val="26"/>
          <w:szCs w:val="26"/>
          <w:lang w:val="en-US"/>
        </w:rPr>
        <w:t>Beginning on the first day of the fiscal year following the Capital Return Date and in each fiscal year thereafter, (A) if ANI for such fiscal year is no more than four times the Floating Threshold, the Dividend is equal to 20% *ANI and (B) if ANI for such fiscal year is greater than four times the Floating Threshold, the Dividend is equal to Floating Threshold + 2.5%(ANI - 4*Threshold Amount), but in any event no more than 1000% of the Floating Threshold.</w:t>
      </w:r>
    </w:p>
    <w:p w:rsidR="00951B95" w:rsidRPr="003F5163" w:rsidRDefault="00DA3D94" w:rsidP="005334FD">
      <w:pPr>
        <w:ind w:left="360"/>
        <w:rPr>
          <w:rFonts w:ascii="Garamond" w:hAnsi="Garamond"/>
          <w:sz w:val="26"/>
          <w:szCs w:val="26"/>
          <w:u w:val="single"/>
          <w:lang w:val="en-US"/>
        </w:rPr>
      </w:pPr>
      <w:r w:rsidRPr="003F5163">
        <w:rPr>
          <w:rFonts w:ascii="Garamond" w:hAnsi="Garamond"/>
          <w:sz w:val="26"/>
          <w:szCs w:val="26"/>
          <w:u w:val="single"/>
          <w:lang w:val="en-US"/>
        </w:rPr>
        <w:t>In more mathematical terms</w:t>
      </w:r>
    </w:p>
    <w:p w:rsidR="00DA3D94" w:rsidRPr="00DA3D94" w:rsidRDefault="00DA3D94" w:rsidP="00DA3D94">
      <w:pPr>
        <w:spacing w:after="0"/>
        <w:ind w:left="72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Phase 1:</w:t>
      </w:r>
    </w:p>
    <w:p w:rsidR="00DA3D94" w:rsidRPr="00DA3D94" w:rsidRDefault="00DA3D94" w:rsidP="00DA3D94">
      <w:pPr>
        <w:spacing w:after="0"/>
        <w:ind w:left="72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When: 3</w:t>
      </w:r>
      <w:r w:rsidRPr="00DA3D94">
        <w:rPr>
          <w:rFonts w:ascii="Garamond" w:eastAsia="Calibri" w:hAnsi="Garamond" w:cs="Times New Roman"/>
          <w:sz w:val="24"/>
          <w:szCs w:val="24"/>
          <w:vertAlign w:val="superscript"/>
          <w:lang w:val="en-US"/>
        </w:rPr>
        <w:t>rd</w:t>
      </w:r>
      <w:r w:rsidRPr="00DA3D94">
        <w:rPr>
          <w:rFonts w:ascii="Garamond" w:eastAsia="Calibri" w:hAnsi="Garamond" w:cs="Times New Roman"/>
          <w:sz w:val="24"/>
          <w:szCs w:val="24"/>
          <w:lang w:val="en-US"/>
        </w:rPr>
        <w:t xml:space="preserve"> anniversary =&gt; Capital Return Date</w:t>
      </w:r>
    </w:p>
    <w:p w:rsidR="00DA3D94" w:rsidRPr="00DA3D94" w:rsidRDefault="00DA3D94" w:rsidP="00DA3D94">
      <w:pPr>
        <w:spacing w:after="0"/>
        <w:ind w:left="720"/>
        <w:contextualSpacing/>
        <w:rPr>
          <w:rFonts w:ascii="Garamond" w:eastAsia="Calibri" w:hAnsi="Garamond" w:cs="Times New Roman"/>
          <w:sz w:val="24"/>
          <w:szCs w:val="24"/>
          <w:lang w:val="en-US"/>
        </w:rPr>
      </w:pPr>
      <w:r w:rsidRPr="00DA3D94">
        <w:rPr>
          <w:rFonts w:ascii="Garamond" w:eastAsia="Calibri" w:hAnsi="Garamond" w:cs="Times New Roman"/>
          <w:b/>
          <w:sz w:val="24"/>
          <w:szCs w:val="24"/>
          <w:lang w:val="en-US"/>
        </w:rPr>
        <w:t>Dividend</w:t>
      </w:r>
      <w:r w:rsidRPr="00DA3D94">
        <w:rPr>
          <w:rFonts w:ascii="Garamond" w:eastAsia="Calibri" w:hAnsi="Garamond" w:cs="Times New Roman"/>
          <w:sz w:val="24"/>
          <w:szCs w:val="24"/>
          <w:lang w:val="en-US"/>
        </w:rPr>
        <w:t xml:space="preserve"> = 25% ANI</w:t>
      </w:r>
    </w:p>
    <w:p w:rsidR="00DA3D94" w:rsidRPr="00DA3D94" w:rsidRDefault="00DA3D94" w:rsidP="00DA3D94">
      <w:pPr>
        <w:spacing w:after="0"/>
        <w:ind w:left="72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Dividends per preferred share = 25% ANI /TSF</w:t>
      </w:r>
    </w:p>
    <w:p w:rsidR="00DA3D94" w:rsidRPr="00DA3D94" w:rsidRDefault="00DA3D94" w:rsidP="00DA3D94">
      <w:pPr>
        <w:spacing w:after="0"/>
        <w:ind w:left="72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Dividends per common share = 0</w:t>
      </w:r>
    </w:p>
    <w:p w:rsidR="00DA3D94" w:rsidRPr="00DA3D94" w:rsidRDefault="00DA3D94" w:rsidP="00DA3D94">
      <w:pPr>
        <w:spacing w:after="0"/>
        <w:ind w:left="720"/>
        <w:contextualSpacing/>
        <w:rPr>
          <w:rFonts w:ascii="Garamond" w:eastAsia="Calibri" w:hAnsi="Garamond" w:cs="Times New Roman"/>
          <w:sz w:val="24"/>
          <w:szCs w:val="24"/>
          <w:lang w:val="en-US"/>
        </w:rPr>
      </w:pPr>
    </w:p>
    <w:p w:rsidR="00DA3D94" w:rsidRPr="00DA3D94" w:rsidRDefault="00DA3D94" w:rsidP="00DA3D94">
      <w:pPr>
        <w:spacing w:after="0"/>
        <w:ind w:left="72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Phase 2:</w:t>
      </w:r>
    </w:p>
    <w:p w:rsidR="00DA3D94" w:rsidRPr="00DA3D94" w:rsidRDefault="00DA3D94" w:rsidP="00DA3D94">
      <w:pPr>
        <w:spacing w:after="0"/>
        <w:ind w:left="72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When: Capital return date =&gt; for ever</w:t>
      </w:r>
    </w:p>
    <w:p w:rsidR="00DA3D94" w:rsidRPr="00DA3D94" w:rsidRDefault="00DA3D94" w:rsidP="00DA3D94">
      <w:pPr>
        <w:spacing w:after="0"/>
        <w:ind w:left="72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ab/>
        <w:t>And: ANI &lt; 4* Floating Threshold</w:t>
      </w:r>
    </w:p>
    <w:p w:rsidR="00DA3D94" w:rsidRPr="00DA3D94" w:rsidRDefault="00DA3D94" w:rsidP="00DA3D94">
      <w:pPr>
        <w:spacing w:after="0"/>
        <w:ind w:left="720"/>
        <w:contextualSpacing/>
        <w:rPr>
          <w:rFonts w:ascii="Garamond" w:eastAsia="Calibri" w:hAnsi="Garamond" w:cs="Times New Roman"/>
          <w:sz w:val="24"/>
          <w:szCs w:val="24"/>
          <w:lang w:val="en-US"/>
        </w:rPr>
      </w:pPr>
      <w:r w:rsidRPr="00DA3D94">
        <w:rPr>
          <w:rFonts w:ascii="Garamond" w:eastAsia="Calibri" w:hAnsi="Garamond" w:cs="Times New Roman"/>
          <w:b/>
          <w:sz w:val="24"/>
          <w:szCs w:val="24"/>
          <w:lang w:val="en-US"/>
        </w:rPr>
        <w:t>Dividend</w:t>
      </w:r>
      <w:r w:rsidRPr="00DA3D94">
        <w:rPr>
          <w:rFonts w:ascii="Garamond" w:eastAsia="Calibri" w:hAnsi="Garamond" w:cs="Times New Roman"/>
          <w:sz w:val="24"/>
          <w:szCs w:val="24"/>
          <w:lang w:val="en-US"/>
        </w:rPr>
        <w:t xml:space="preserve"> = 20% ANI</w:t>
      </w:r>
    </w:p>
    <w:p w:rsidR="00DA3D94" w:rsidRPr="00DA3D94" w:rsidRDefault="00DA3D94" w:rsidP="00DA3D94">
      <w:pPr>
        <w:spacing w:after="0"/>
        <w:ind w:left="72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Dividends per preferred share = 20% ANI / TSF</w:t>
      </w:r>
    </w:p>
    <w:p w:rsidR="00DA3D94" w:rsidRPr="00DA3D94" w:rsidRDefault="00DA3D94" w:rsidP="00DA3D94">
      <w:pPr>
        <w:spacing w:after="0"/>
        <w:ind w:left="72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Dividends per common share = 20% ANI /TSF * div_TSC / TSC</w:t>
      </w:r>
    </w:p>
    <w:p w:rsidR="00DA3D94" w:rsidRPr="00DA3D94" w:rsidRDefault="00DA3D94" w:rsidP="00DA3D94">
      <w:pPr>
        <w:spacing w:after="0"/>
        <w:ind w:left="720"/>
        <w:contextualSpacing/>
        <w:rPr>
          <w:rFonts w:ascii="Garamond" w:eastAsia="Calibri" w:hAnsi="Garamond" w:cs="Times New Roman"/>
          <w:sz w:val="24"/>
          <w:szCs w:val="24"/>
          <w:lang w:val="en-US"/>
        </w:rPr>
      </w:pPr>
    </w:p>
    <w:p w:rsidR="00DA3D94" w:rsidRPr="00DA3D94" w:rsidRDefault="00DA3D94" w:rsidP="00DA3D94">
      <w:pPr>
        <w:spacing w:after="0"/>
        <w:ind w:left="72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Phase 3:</w:t>
      </w:r>
    </w:p>
    <w:p w:rsidR="00DA3D94" w:rsidRPr="00DA3D94" w:rsidRDefault="00DA3D94" w:rsidP="00DA3D94">
      <w:pPr>
        <w:spacing w:after="0"/>
        <w:ind w:left="72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When: Capital return date =&gt; for ever</w:t>
      </w:r>
    </w:p>
    <w:p w:rsidR="00DA3D94" w:rsidRPr="00DA3D94" w:rsidRDefault="00DA3D94" w:rsidP="00DA3D94">
      <w:pPr>
        <w:spacing w:after="0"/>
        <w:ind w:left="72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ab/>
        <w:t>And: ANI &gt; 4* Floating Threshold</w:t>
      </w:r>
    </w:p>
    <w:p w:rsidR="00DA3D94" w:rsidRPr="00DA3D94" w:rsidRDefault="00DA3D94" w:rsidP="00DA3D94">
      <w:pPr>
        <w:spacing w:after="0"/>
        <w:ind w:left="72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ab/>
        <w:t>And: Dividend &lt; 10 * Floating Threshold</w:t>
      </w:r>
    </w:p>
    <w:p w:rsidR="00DA3D94" w:rsidRPr="00DA3D94" w:rsidRDefault="00DA3D94" w:rsidP="00DA3D94">
      <w:pPr>
        <w:spacing w:after="0"/>
        <w:ind w:left="720"/>
        <w:rPr>
          <w:rFonts w:ascii="Garamond" w:eastAsia="Calibri" w:hAnsi="Garamond" w:cs="Times New Roman"/>
          <w:sz w:val="24"/>
          <w:szCs w:val="24"/>
          <w:lang w:val="en-US"/>
        </w:rPr>
      </w:pPr>
      <w:r w:rsidRPr="00DA3D94">
        <w:rPr>
          <w:rFonts w:ascii="Garamond" w:eastAsia="Calibri" w:hAnsi="Garamond" w:cs="Times New Roman"/>
          <w:b/>
          <w:sz w:val="24"/>
          <w:szCs w:val="24"/>
          <w:lang w:val="en-US"/>
        </w:rPr>
        <w:t>Dividend</w:t>
      </w:r>
      <w:r w:rsidRPr="00DA3D94">
        <w:rPr>
          <w:rFonts w:ascii="Garamond" w:eastAsia="Calibri" w:hAnsi="Garamond" w:cs="Times New Roman"/>
          <w:sz w:val="24"/>
          <w:szCs w:val="24"/>
          <w:lang w:val="en-US"/>
        </w:rPr>
        <w:t xml:space="preserve"> = Floating Threshold *(100% + 10%(ANI-4* Floating Threshold)/4* Floating Threshold))</w:t>
      </w:r>
    </w:p>
    <w:p w:rsidR="00DA3D94" w:rsidRPr="00DA3D94" w:rsidRDefault="00DA3D94" w:rsidP="00DA3D94">
      <w:pPr>
        <w:spacing w:after="0"/>
        <w:ind w:left="720"/>
        <w:rPr>
          <w:rFonts w:ascii="Garamond" w:eastAsia="Calibri" w:hAnsi="Garamond" w:cs="Times New Roman"/>
          <w:sz w:val="24"/>
          <w:szCs w:val="24"/>
          <w:lang w:val="en-US"/>
        </w:rPr>
      </w:pPr>
      <w:r w:rsidRPr="00DA3D94">
        <w:rPr>
          <w:rFonts w:ascii="Garamond" w:eastAsia="Calibri" w:hAnsi="Garamond" w:cs="Times New Roman"/>
          <w:b/>
          <w:sz w:val="24"/>
          <w:szCs w:val="24"/>
          <w:lang w:val="en-US"/>
        </w:rPr>
        <w:sym w:font="Wingdings" w:char="F0F3"/>
      </w:r>
      <w:r w:rsidRPr="00DA3D94">
        <w:rPr>
          <w:rFonts w:ascii="Garamond" w:eastAsia="Calibri" w:hAnsi="Garamond" w:cs="Times New Roman"/>
          <w:sz w:val="24"/>
          <w:szCs w:val="24"/>
          <w:lang w:val="en-US"/>
        </w:rPr>
        <w:t xml:space="preserve"> </w:t>
      </w:r>
      <w:r w:rsidRPr="00DA3D94">
        <w:rPr>
          <w:rFonts w:ascii="Garamond" w:eastAsia="Calibri" w:hAnsi="Garamond" w:cs="Times New Roman"/>
          <w:b/>
          <w:sz w:val="24"/>
          <w:szCs w:val="24"/>
          <w:lang w:val="en-US"/>
        </w:rPr>
        <w:t xml:space="preserve">Dividend = </w:t>
      </w:r>
      <w:r w:rsidRPr="00DA3D94">
        <w:rPr>
          <w:rFonts w:ascii="Garamond" w:eastAsia="Calibri" w:hAnsi="Garamond" w:cs="Times New Roman"/>
          <w:sz w:val="24"/>
          <w:szCs w:val="24"/>
          <w:lang w:val="en-US"/>
        </w:rPr>
        <w:t>Floating Threshold + 2.5%(ANI-4* Floating Threshold)</w:t>
      </w:r>
    </w:p>
    <w:p w:rsidR="00DA3D94" w:rsidRPr="00DA3D94" w:rsidRDefault="00DA3D94" w:rsidP="00DA3D94">
      <w:pPr>
        <w:spacing w:after="0"/>
        <w:ind w:left="720"/>
        <w:rPr>
          <w:rFonts w:ascii="Garamond" w:eastAsia="Calibri" w:hAnsi="Garamond" w:cs="Times New Roman"/>
          <w:sz w:val="24"/>
          <w:szCs w:val="24"/>
          <w:lang w:val="en-US"/>
        </w:rPr>
      </w:pPr>
      <w:r w:rsidRPr="00DA3D94">
        <w:rPr>
          <w:rFonts w:ascii="Garamond" w:eastAsia="Calibri" w:hAnsi="Garamond" w:cs="Times New Roman"/>
          <w:b/>
          <w:sz w:val="24"/>
          <w:szCs w:val="24"/>
          <w:lang w:val="en-US"/>
        </w:rPr>
        <w:sym w:font="Wingdings" w:char="F0F3"/>
      </w:r>
      <w:r w:rsidRPr="00DA3D94">
        <w:rPr>
          <w:rFonts w:ascii="Garamond" w:eastAsia="Calibri" w:hAnsi="Garamond" w:cs="Times New Roman"/>
          <w:sz w:val="24"/>
          <w:szCs w:val="24"/>
          <w:lang w:val="en-US"/>
        </w:rPr>
        <w:t xml:space="preserve"> </w:t>
      </w:r>
      <w:r w:rsidRPr="00DA3D94">
        <w:rPr>
          <w:rFonts w:ascii="Garamond" w:eastAsia="Calibri" w:hAnsi="Garamond" w:cs="Times New Roman"/>
          <w:b/>
          <w:sz w:val="24"/>
          <w:szCs w:val="24"/>
          <w:lang w:val="en-US"/>
        </w:rPr>
        <w:t xml:space="preserve">Dividend </w:t>
      </w:r>
      <w:r w:rsidRPr="00DA3D94">
        <w:rPr>
          <w:rFonts w:ascii="Garamond" w:eastAsia="Calibri" w:hAnsi="Garamond" w:cs="Times New Roman"/>
          <w:sz w:val="24"/>
          <w:szCs w:val="24"/>
          <w:lang w:val="en-US"/>
        </w:rPr>
        <w:t>= 90% Floating Threshold + 2.5% ANI</w:t>
      </w:r>
    </w:p>
    <w:p w:rsidR="00DA3D94" w:rsidRPr="00DA3D94" w:rsidRDefault="00DA3D94" w:rsidP="00DA3D94">
      <w:pPr>
        <w:spacing w:after="0"/>
        <w:ind w:left="720" w:firstLine="720"/>
        <w:rPr>
          <w:rFonts w:ascii="Garamond" w:eastAsia="Calibri" w:hAnsi="Garamond" w:cs="Times New Roman"/>
          <w:sz w:val="24"/>
          <w:szCs w:val="24"/>
          <w:lang w:val="en-US"/>
        </w:rPr>
      </w:pPr>
      <w:r w:rsidRPr="00DA3D94">
        <w:rPr>
          <w:rFonts w:ascii="Garamond" w:eastAsia="Calibri" w:hAnsi="Garamond" w:cs="Times New Roman"/>
          <w:sz w:val="24"/>
          <w:szCs w:val="24"/>
          <w:lang w:val="en-US"/>
        </w:rPr>
        <w:t>As long as</w:t>
      </w:r>
      <w:r w:rsidRPr="00DA3D94">
        <w:rPr>
          <w:rFonts w:ascii="Garamond" w:eastAsia="Calibri" w:hAnsi="Garamond" w:cs="Times New Roman"/>
          <w:b/>
          <w:sz w:val="24"/>
          <w:szCs w:val="24"/>
          <w:lang w:val="en-US"/>
        </w:rPr>
        <w:t xml:space="preserve"> Dividend </w:t>
      </w:r>
      <w:r w:rsidRPr="00DA3D94">
        <w:rPr>
          <w:rFonts w:ascii="Garamond" w:eastAsia="Calibri" w:hAnsi="Garamond" w:cs="Times New Roman"/>
          <w:sz w:val="24"/>
          <w:szCs w:val="24"/>
          <w:lang w:val="en-US"/>
        </w:rPr>
        <w:t>&lt; 10 * Floating Threshold</w:t>
      </w:r>
    </w:p>
    <w:p w:rsidR="00DA3D94" w:rsidRPr="00DA3D94" w:rsidRDefault="00DA3D94" w:rsidP="00DA3D94">
      <w:pPr>
        <w:spacing w:after="0"/>
        <w:ind w:left="720" w:firstLine="720"/>
        <w:rPr>
          <w:rFonts w:ascii="Garamond" w:eastAsia="Calibri" w:hAnsi="Garamond" w:cs="Times New Roman"/>
          <w:sz w:val="24"/>
          <w:szCs w:val="24"/>
          <w:lang w:val="en-US"/>
        </w:rPr>
      </w:pPr>
      <w:r w:rsidRPr="00DA3D94">
        <w:rPr>
          <w:rFonts w:ascii="Garamond" w:eastAsia="Calibri" w:hAnsi="Garamond" w:cs="Times New Roman"/>
          <w:sz w:val="24"/>
          <w:szCs w:val="24"/>
          <w:lang w:val="en-US"/>
        </w:rPr>
        <w:t xml:space="preserve">Otherwise </w:t>
      </w:r>
      <w:r w:rsidRPr="00DA3D94">
        <w:rPr>
          <w:rFonts w:ascii="Garamond" w:eastAsia="Calibri" w:hAnsi="Garamond" w:cs="Times New Roman"/>
          <w:b/>
          <w:sz w:val="24"/>
          <w:szCs w:val="24"/>
          <w:lang w:val="en-US"/>
        </w:rPr>
        <w:t>Dividend</w:t>
      </w:r>
      <w:r w:rsidRPr="00DA3D94">
        <w:rPr>
          <w:rFonts w:ascii="Garamond" w:eastAsia="Calibri" w:hAnsi="Garamond" w:cs="Times New Roman"/>
          <w:sz w:val="24"/>
          <w:szCs w:val="24"/>
          <w:lang w:val="en-US"/>
        </w:rPr>
        <w:t xml:space="preserve"> = 10 * Floating Threshold </w:t>
      </w:r>
    </w:p>
    <w:p w:rsidR="00DA3D94" w:rsidRDefault="00DA3D94" w:rsidP="005111FC">
      <w:pPr>
        <w:ind w:left="360"/>
        <w:rPr>
          <w:rFonts w:ascii="Garamond" w:hAnsi="Garamond"/>
          <w:sz w:val="26"/>
          <w:szCs w:val="26"/>
          <w:lang w:val="en-US"/>
        </w:rPr>
      </w:pPr>
    </w:p>
    <w:p w:rsidR="00DA3D94" w:rsidRPr="003F5163" w:rsidRDefault="00DA3D94" w:rsidP="005111FC">
      <w:pPr>
        <w:ind w:left="360"/>
        <w:rPr>
          <w:rFonts w:ascii="Garamond" w:hAnsi="Garamond"/>
          <w:sz w:val="26"/>
          <w:szCs w:val="26"/>
          <w:u w:val="single"/>
          <w:lang w:val="en-US"/>
        </w:rPr>
      </w:pPr>
      <w:r w:rsidRPr="003F5163">
        <w:rPr>
          <w:rFonts w:ascii="Garamond" w:hAnsi="Garamond"/>
          <w:sz w:val="26"/>
          <w:szCs w:val="26"/>
          <w:u w:val="single"/>
          <w:lang w:val="en-US"/>
        </w:rPr>
        <w:t>Rationale for this complicated</w:t>
      </w:r>
      <w:r w:rsidR="003F5163" w:rsidRPr="003F5163">
        <w:rPr>
          <w:rFonts w:ascii="Garamond" w:hAnsi="Garamond"/>
          <w:sz w:val="26"/>
          <w:szCs w:val="26"/>
          <w:u w:val="single"/>
          <w:lang w:val="en-US"/>
        </w:rPr>
        <w:t xml:space="preserve"> set of mathematical conditions</w:t>
      </w:r>
    </w:p>
    <w:p w:rsidR="00DA3D94" w:rsidRPr="00DA3D94" w:rsidRDefault="00DA3D94" w:rsidP="00DA3D94">
      <w:pPr>
        <w:numPr>
          <w:ilvl w:val="0"/>
          <w:numId w:val="30"/>
        </w:numPr>
        <w:spacing w:after="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The ratio Dividend/ANI is &lt;25%, such that the Dividend is at most 25% of the ANI in early phase 3.</w:t>
      </w:r>
    </w:p>
    <w:p w:rsidR="00DA3D94" w:rsidRPr="00DA3D94" w:rsidRDefault="00DA3D94" w:rsidP="00DA3D94">
      <w:pPr>
        <w:numPr>
          <w:ilvl w:val="0"/>
          <w:numId w:val="30"/>
        </w:numPr>
        <w:spacing w:after="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The ratio Dividend/ANI decreases as ANI increases</w:t>
      </w:r>
    </w:p>
    <w:p w:rsidR="00DA3D94" w:rsidRPr="00DA3D94" w:rsidRDefault="00DA3D94" w:rsidP="00DA3D94">
      <w:pPr>
        <w:numPr>
          <w:ilvl w:val="0"/>
          <w:numId w:val="30"/>
        </w:numPr>
        <w:spacing w:after="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The Dividend increases as ANI increases</w:t>
      </w:r>
    </w:p>
    <w:p w:rsidR="003F5163" w:rsidRPr="005334FD" w:rsidRDefault="003F5163" w:rsidP="00DA3D94">
      <w:pPr>
        <w:ind w:left="720"/>
        <w:rPr>
          <w:rFonts w:ascii="Garamond" w:hAnsi="Garamond"/>
          <w:sz w:val="10"/>
          <w:szCs w:val="10"/>
          <w:lang w:val="en-US"/>
        </w:rPr>
      </w:pPr>
    </w:p>
    <w:p w:rsidR="00DA3D94" w:rsidRPr="00DA3D94" w:rsidRDefault="00DA3D94" w:rsidP="00DA3D94">
      <w:pPr>
        <w:ind w:left="720"/>
        <w:rPr>
          <w:rFonts w:ascii="Garamond" w:hAnsi="Garamond"/>
          <w:sz w:val="26"/>
          <w:szCs w:val="26"/>
          <w:lang w:val="en-US"/>
        </w:rPr>
      </w:pPr>
      <w:r w:rsidRPr="00DA3D94">
        <w:rPr>
          <w:rFonts w:ascii="Garamond" w:hAnsi="Garamond"/>
          <w:sz w:val="26"/>
          <w:szCs w:val="26"/>
          <w:lang w:val="en-US"/>
        </w:rPr>
        <w:t>Hence, we “have our cake and eat it too”: the financial burden of the Dividends lightens as the company grows (ii), while the Investors still see a steady increase in Dividends (iii) – which is capped by a yearly dividend return of 10 times the initial investment amount.  That is: an investor investing $1</w:t>
      </w:r>
      <w:r w:rsidR="007D3294">
        <w:rPr>
          <w:rFonts w:ascii="Garamond" w:hAnsi="Garamond"/>
          <w:sz w:val="26"/>
          <w:szCs w:val="26"/>
          <w:lang w:val="en-US"/>
        </w:rPr>
        <w:t>00</w:t>
      </w:r>
      <w:r w:rsidRPr="00DA3D94">
        <w:rPr>
          <w:rFonts w:ascii="Garamond" w:hAnsi="Garamond"/>
          <w:sz w:val="26"/>
          <w:szCs w:val="26"/>
          <w:lang w:val="en-US"/>
        </w:rPr>
        <w:t>,000 will be earning at most $1</w:t>
      </w:r>
      <w:r w:rsidR="007D3294">
        <w:rPr>
          <w:rFonts w:ascii="Garamond" w:hAnsi="Garamond"/>
          <w:sz w:val="26"/>
          <w:szCs w:val="26"/>
          <w:lang w:val="en-US"/>
        </w:rPr>
        <w:t>,</w:t>
      </w:r>
      <w:r w:rsidRPr="00DA3D94">
        <w:rPr>
          <w:rFonts w:ascii="Garamond" w:hAnsi="Garamond"/>
          <w:sz w:val="26"/>
          <w:szCs w:val="26"/>
          <w:lang w:val="en-US"/>
        </w:rPr>
        <w:t>0</w:t>
      </w:r>
      <w:r w:rsidR="007D3294">
        <w:rPr>
          <w:rFonts w:ascii="Garamond" w:hAnsi="Garamond"/>
          <w:sz w:val="26"/>
          <w:szCs w:val="26"/>
          <w:lang w:val="en-US"/>
        </w:rPr>
        <w:t>00</w:t>
      </w:r>
      <w:r w:rsidRPr="00DA3D94">
        <w:rPr>
          <w:rFonts w:ascii="Garamond" w:hAnsi="Garamond"/>
          <w:sz w:val="26"/>
          <w:szCs w:val="26"/>
          <w:lang w:val="en-US"/>
        </w:rPr>
        <w:t xml:space="preserve">,000 </w:t>
      </w:r>
      <w:r w:rsidRPr="00A41BE2">
        <w:rPr>
          <w:rFonts w:ascii="Garamond" w:hAnsi="Garamond"/>
          <w:i/>
          <w:sz w:val="26"/>
          <w:szCs w:val="26"/>
          <w:lang w:val="en-US"/>
        </w:rPr>
        <w:t>yearly</w:t>
      </w:r>
      <w:r w:rsidRPr="00DA3D94">
        <w:rPr>
          <w:rFonts w:ascii="Garamond" w:hAnsi="Garamond"/>
          <w:sz w:val="26"/>
          <w:szCs w:val="26"/>
          <w:lang w:val="en-US"/>
        </w:rPr>
        <w:t xml:space="preserve"> in dividends when the company is making significant revenues.  Importantly, the Dividends can always be paid since they are only a fra</w:t>
      </w:r>
      <w:r>
        <w:rPr>
          <w:rFonts w:ascii="Garamond" w:hAnsi="Garamond"/>
          <w:sz w:val="26"/>
          <w:szCs w:val="26"/>
          <w:lang w:val="en-US"/>
        </w:rPr>
        <w:t>ction of the ANI (i).  Proofs for i,</w:t>
      </w:r>
      <w:r w:rsidRPr="00DA3D94">
        <w:rPr>
          <w:rFonts w:ascii="Garamond" w:hAnsi="Garamond"/>
          <w:sz w:val="26"/>
          <w:szCs w:val="26"/>
          <w:lang w:val="en-US"/>
        </w:rPr>
        <w:t xml:space="preserve"> ii and </w:t>
      </w:r>
      <w:r>
        <w:rPr>
          <w:rFonts w:ascii="Garamond" w:hAnsi="Garamond"/>
          <w:sz w:val="26"/>
          <w:szCs w:val="26"/>
          <w:lang w:val="en-US"/>
        </w:rPr>
        <w:t>iii are provided below</w:t>
      </w:r>
      <w:r w:rsidRPr="00DA3D94">
        <w:rPr>
          <w:rFonts w:ascii="Garamond" w:hAnsi="Garamond"/>
          <w:sz w:val="26"/>
          <w:szCs w:val="26"/>
          <w:lang w:val="en-US"/>
        </w:rPr>
        <w:t>.</w:t>
      </w:r>
    </w:p>
    <w:p w:rsidR="00DA3D94" w:rsidRDefault="00DA3D94" w:rsidP="00DA3D94">
      <w:pPr>
        <w:ind w:left="720"/>
        <w:rPr>
          <w:rFonts w:ascii="Garamond" w:hAnsi="Garamond"/>
          <w:sz w:val="26"/>
          <w:szCs w:val="26"/>
          <w:lang w:val="en-US"/>
        </w:rPr>
      </w:pPr>
      <w:r w:rsidRPr="00DA3D94">
        <w:rPr>
          <w:rFonts w:ascii="Garamond" w:hAnsi="Garamond"/>
          <w:sz w:val="26"/>
          <w:szCs w:val="26"/>
          <w:lang w:val="en-US"/>
        </w:rPr>
        <w:t xml:space="preserve">This complicated math also allows the Preferred Holders, which hold an aggregate of </w:t>
      </w:r>
      <w:r w:rsidR="003B01FF">
        <w:rPr>
          <w:rFonts w:ascii="Garamond" w:hAnsi="Garamond"/>
          <w:sz w:val="26"/>
          <w:szCs w:val="26"/>
          <w:lang w:val="en-US"/>
        </w:rPr>
        <w:t>20</w:t>
      </w:r>
      <w:r w:rsidRPr="00DA3D94">
        <w:rPr>
          <w:rFonts w:ascii="Garamond" w:hAnsi="Garamond"/>
          <w:sz w:val="26"/>
          <w:szCs w:val="26"/>
          <w:lang w:val="en-US"/>
        </w:rPr>
        <w:t>% of the company in terms of stock</w:t>
      </w:r>
      <w:r w:rsidR="006F51E4">
        <w:rPr>
          <w:rFonts w:ascii="Garamond" w:hAnsi="Garamond"/>
          <w:sz w:val="26"/>
          <w:szCs w:val="26"/>
          <w:lang w:val="en-US"/>
        </w:rPr>
        <w:t xml:space="preserve"> (for a $</w:t>
      </w:r>
      <w:r w:rsidR="003B01FF">
        <w:rPr>
          <w:rFonts w:ascii="Garamond" w:hAnsi="Garamond"/>
          <w:sz w:val="26"/>
          <w:szCs w:val="26"/>
          <w:lang w:val="en-US"/>
        </w:rPr>
        <w:t>800</w:t>
      </w:r>
      <w:r w:rsidR="006F51E4">
        <w:rPr>
          <w:rFonts w:ascii="Garamond" w:hAnsi="Garamond"/>
          <w:sz w:val="26"/>
          <w:szCs w:val="26"/>
          <w:lang w:val="en-US"/>
        </w:rPr>
        <w:t>,000 seed investment)</w:t>
      </w:r>
      <w:r w:rsidRPr="00DA3D94">
        <w:rPr>
          <w:rFonts w:ascii="Garamond" w:hAnsi="Garamond"/>
          <w:sz w:val="26"/>
          <w:szCs w:val="26"/>
          <w:lang w:val="en-US"/>
        </w:rPr>
        <w:t>, to be treated as sole/majority shareholders with respect to dividend accruals in the early phase of the corporation.  Indeed, Common Stock only start accruing dividends on par with Preferred Stocks subject to the condition of significant income.</w:t>
      </w:r>
    </w:p>
    <w:p w:rsidR="00DA3D94" w:rsidRPr="003F5163" w:rsidRDefault="00DA3D94" w:rsidP="00DA3D94">
      <w:pPr>
        <w:ind w:left="720"/>
        <w:rPr>
          <w:rFonts w:ascii="Garamond" w:hAnsi="Garamond"/>
          <w:sz w:val="26"/>
          <w:szCs w:val="26"/>
          <w:u w:val="single"/>
          <w:lang w:val="en-US"/>
        </w:rPr>
      </w:pPr>
      <w:r w:rsidRPr="003F5163">
        <w:rPr>
          <w:rFonts w:ascii="Garamond" w:hAnsi="Garamond"/>
          <w:sz w:val="26"/>
          <w:szCs w:val="26"/>
          <w:u w:val="single"/>
          <w:lang w:val="en-US"/>
        </w:rPr>
        <w:t>Mathematical proofs</w:t>
      </w:r>
    </w:p>
    <w:p w:rsidR="00DA3D94" w:rsidRPr="00DA3D94" w:rsidRDefault="00DA3D94" w:rsidP="00DA3D94">
      <w:pPr>
        <w:numPr>
          <w:ilvl w:val="0"/>
          <w:numId w:val="31"/>
        </w:numPr>
        <w:spacing w:after="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The ratio Dividend/ANI is &lt;25%, such that the Dividend is at most 25% of the ANI in early phase 3.</w:t>
      </w:r>
    </w:p>
    <w:p w:rsidR="00DA3D94" w:rsidRPr="00DA3D94" w:rsidRDefault="00DA3D94" w:rsidP="00DA3D94">
      <w:pPr>
        <w:spacing w:after="0"/>
        <w:ind w:left="1440"/>
        <w:contextualSpacing/>
        <w:rPr>
          <w:rFonts w:ascii="Garamond" w:eastAsia="Calibri" w:hAnsi="Garamond" w:cs="Times New Roman"/>
          <w:sz w:val="24"/>
          <w:szCs w:val="24"/>
          <w:lang w:val="en-US"/>
        </w:rPr>
      </w:pPr>
    </w:p>
    <w:p w:rsidR="00DA3D94" w:rsidRPr="00DA3D94" w:rsidRDefault="00DA3D94" w:rsidP="00DA3D94">
      <w:pPr>
        <w:spacing w:after="0"/>
        <w:ind w:left="144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In Phase 3, ANI&gt;4*FT   and   Div = 0.9*FT + 0.1/4*ANI</w:t>
      </w:r>
    </w:p>
    <w:p w:rsidR="00DA3D94" w:rsidRPr="00DA3D94" w:rsidRDefault="00DA3D94" w:rsidP="00DA3D94">
      <w:pPr>
        <w:numPr>
          <w:ilvl w:val="0"/>
          <w:numId w:val="32"/>
        </w:numPr>
        <w:spacing w:after="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1/4 &gt; FT/ANI</w:t>
      </w:r>
    </w:p>
    <w:p w:rsidR="00DA3D94" w:rsidRPr="00DA3D94" w:rsidRDefault="00DA3D94" w:rsidP="00DA3D94">
      <w:pPr>
        <w:numPr>
          <w:ilvl w:val="0"/>
          <w:numId w:val="32"/>
        </w:numPr>
        <w:spacing w:after="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0.9/4 &gt; 0.9* FT/ANI</w:t>
      </w:r>
    </w:p>
    <w:p w:rsidR="00DA3D94" w:rsidRPr="00DA3D94" w:rsidRDefault="00DA3D94" w:rsidP="00DA3D94">
      <w:pPr>
        <w:numPr>
          <w:ilvl w:val="0"/>
          <w:numId w:val="32"/>
        </w:numPr>
        <w:spacing w:after="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0.9/4 + 0.1/4 &gt; 0.9* FT/ANI + 0.1/4</w:t>
      </w:r>
    </w:p>
    <w:p w:rsidR="00DA3D94" w:rsidRPr="00DA3D94" w:rsidRDefault="00DA3D94" w:rsidP="00DA3D94">
      <w:pPr>
        <w:numPr>
          <w:ilvl w:val="0"/>
          <w:numId w:val="32"/>
        </w:numPr>
        <w:spacing w:after="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1/4 &gt; Div/ANI ■</w:t>
      </w:r>
    </w:p>
    <w:p w:rsidR="00DA3D94" w:rsidRPr="00DA3D94" w:rsidRDefault="00DA3D94" w:rsidP="00DA3D94">
      <w:pPr>
        <w:spacing w:after="0"/>
        <w:ind w:left="1440"/>
        <w:contextualSpacing/>
        <w:rPr>
          <w:rFonts w:ascii="Garamond" w:eastAsia="Calibri" w:hAnsi="Garamond" w:cs="Times New Roman"/>
          <w:sz w:val="24"/>
          <w:szCs w:val="24"/>
          <w:lang w:val="en-US"/>
        </w:rPr>
      </w:pPr>
    </w:p>
    <w:p w:rsidR="00DA3D94" w:rsidRPr="00DA3D94" w:rsidRDefault="00DA3D94" w:rsidP="00DA3D94">
      <w:pPr>
        <w:spacing w:after="0"/>
        <w:ind w:left="144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 xml:space="preserve">In Phase 4, ANI&gt;4*FT   and   0.9*FT + 0.1/4*ANI &gt; Div </w:t>
      </w:r>
    </w:p>
    <w:p w:rsidR="00DA3D94" w:rsidRPr="00DA3D94" w:rsidRDefault="00DA3D94" w:rsidP="00DA3D94">
      <w:pPr>
        <w:numPr>
          <w:ilvl w:val="0"/>
          <w:numId w:val="32"/>
        </w:numPr>
        <w:spacing w:after="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1/4 &gt; FT/ANI</w:t>
      </w:r>
    </w:p>
    <w:p w:rsidR="00DA3D94" w:rsidRPr="00DA3D94" w:rsidRDefault="00DA3D94" w:rsidP="00DA3D94">
      <w:pPr>
        <w:numPr>
          <w:ilvl w:val="0"/>
          <w:numId w:val="32"/>
        </w:numPr>
        <w:spacing w:after="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0.9/4 &gt; 0.9* FT/ANI</w:t>
      </w:r>
    </w:p>
    <w:p w:rsidR="00DA3D94" w:rsidRPr="00DA3D94" w:rsidRDefault="00DA3D94" w:rsidP="00DA3D94">
      <w:pPr>
        <w:numPr>
          <w:ilvl w:val="0"/>
          <w:numId w:val="32"/>
        </w:numPr>
        <w:spacing w:after="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0.9/4 + 0.1/4 &gt; 0.9* FT/ANI + 0.1/4 &gt; Div/ANI</w:t>
      </w:r>
    </w:p>
    <w:p w:rsidR="00DA3D94" w:rsidRPr="00DA3D94" w:rsidRDefault="00DA3D94" w:rsidP="00DA3D94">
      <w:pPr>
        <w:numPr>
          <w:ilvl w:val="0"/>
          <w:numId w:val="32"/>
        </w:numPr>
        <w:spacing w:after="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1/4 &gt; Div/ANI ■</w:t>
      </w:r>
    </w:p>
    <w:p w:rsidR="00DA3D94" w:rsidRPr="00DA3D94" w:rsidRDefault="00DA3D94" w:rsidP="00DA3D94">
      <w:pPr>
        <w:spacing w:after="0"/>
        <w:ind w:left="1440"/>
        <w:contextualSpacing/>
        <w:rPr>
          <w:rFonts w:ascii="Garamond" w:eastAsia="Calibri" w:hAnsi="Garamond" w:cs="Times New Roman"/>
          <w:sz w:val="24"/>
          <w:szCs w:val="24"/>
          <w:lang w:val="en-US"/>
        </w:rPr>
      </w:pPr>
    </w:p>
    <w:p w:rsidR="00DA3D94" w:rsidRPr="00DA3D94" w:rsidRDefault="00DA3D94" w:rsidP="00DA3D94">
      <w:pPr>
        <w:numPr>
          <w:ilvl w:val="0"/>
          <w:numId w:val="31"/>
        </w:numPr>
        <w:spacing w:after="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The ratio Dividend/ANI decreases as ANI increases</w:t>
      </w:r>
    </w:p>
    <w:p w:rsidR="00DA3D94" w:rsidRPr="00DA3D94" w:rsidRDefault="00DA3D94" w:rsidP="00DA3D94">
      <w:pPr>
        <w:spacing w:after="0"/>
        <w:ind w:left="1440"/>
        <w:contextualSpacing/>
        <w:rPr>
          <w:rFonts w:ascii="Garamond" w:eastAsia="Calibri" w:hAnsi="Garamond" w:cs="Times New Roman"/>
          <w:sz w:val="24"/>
          <w:szCs w:val="24"/>
          <w:lang w:val="en-US"/>
        </w:rPr>
      </w:pPr>
    </w:p>
    <w:p w:rsidR="00DA3D94" w:rsidRPr="00DA3D94" w:rsidRDefault="00DA3D94" w:rsidP="00DA3D94">
      <w:pPr>
        <w:spacing w:after="0"/>
        <w:ind w:left="1440"/>
        <w:rPr>
          <w:rFonts w:ascii="Garamond" w:eastAsia="Calibri" w:hAnsi="Garamond" w:cs="Times New Roman"/>
          <w:sz w:val="24"/>
          <w:szCs w:val="24"/>
          <w:lang w:val="en-US"/>
        </w:rPr>
      </w:pPr>
      <w:r w:rsidRPr="00DA3D94">
        <w:rPr>
          <w:rFonts w:ascii="Garamond" w:eastAsia="Calibri" w:hAnsi="Garamond" w:cs="Times New Roman"/>
          <w:sz w:val="24"/>
          <w:szCs w:val="24"/>
          <w:lang w:val="en-US"/>
        </w:rPr>
        <w:t>In Phase 3, ANI&gt;4*FT   and   Div = 0.9*FT + 0.1/4*ANI</w:t>
      </w:r>
    </w:p>
    <w:p w:rsidR="00DA3D94" w:rsidRPr="00DA3D94" w:rsidRDefault="00DA3D94" w:rsidP="00DA3D94">
      <w:pPr>
        <w:numPr>
          <w:ilvl w:val="0"/>
          <w:numId w:val="32"/>
        </w:numPr>
        <w:spacing w:after="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Div/ANI = 0.9*FT/ANI + 0.1/4</w:t>
      </w:r>
    </w:p>
    <w:p w:rsidR="00DA3D94" w:rsidRPr="00DA3D94" w:rsidRDefault="00DA3D94" w:rsidP="00DA3D94">
      <w:pPr>
        <w:numPr>
          <w:ilvl w:val="0"/>
          <w:numId w:val="32"/>
        </w:numPr>
        <w:spacing w:after="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Div/ANI decreases as ANI increases ■</w:t>
      </w:r>
    </w:p>
    <w:p w:rsidR="00DA3D94" w:rsidRPr="00DA3D94" w:rsidRDefault="00DA3D94" w:rsidP="00DA3D94">
      <w:pPr>
        <w:spacing w:after="0"/>
        <w:ind w:left="1800"/>
        <w:contextualSpacing/>
        <w:rPr>
          <w:rFonts w:ascii="Garamond" w:eastAsia="Calibri" w:hAnsi="Garamond" w:cs="Times New Roman"/>
          <w:sz w:val="24"/>
          <w:szCs w:val="24"/>
          <w:lang w:val="en-US"/>
        </w:rPr>
      </w:pPr>
    </w:p>
    <w:p w:rsidR="00DA3D94" w:rsidRPr="00DA3D94" w:rsidRDefault="00DA3D94" w:rsidP="00DA3D94">
      <w:pPr>
        <w:spacing w:after="0"/>
        <w:ind w:left="1800" w:hanging="36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In Phase 4, ANI&gt;4*FT   and   Div = 10*FT</w:t>
      </w:r>
    </w:p>
    <w:p w:rsidR="00DA3D94" w:rsidRPr="00DA3D94" w:rsidRDefault="00DA3D94" w:rsidP="00DA3D94">
      <w:pPr>
        <w:numPr>
          <w:ilvl w:val="0"/>
          <w:numId w:val="32"/>
        </w:numPr>
        <w:spacing w:after="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Div/ANI = 10*FT/ANI</w:t>
      </w:r>
    </w:p>
    <w:p w:rsidR="00DA3D94" w:rsidRPr="00DA3D94" w:rsidRDefault="00DA3D94" w:rsidP="00DA3D94">
      <w:pPr>
        <w:numPr>
          <w:ilvl w:val="0"/>
          <w:numId w:val="32"/>
        </w:numPr>
        <w:spacing w:after="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Div/ANI decreases as ANI increases ■</w:t>
      </w:r>
    </w:p>
    <w:p w:rsidR="00DA3D94" w:rsidRPr="00DA3D94" w:rsidRDefault="00DA3D94" w:rsidP="00DA3D94">
      <w:pPr>
        <w:spacing w:after="0"/>
        <w:ind w:left="1800" w:hanging="360"/>
        <w:contextualSpacing/>
        <w:rPr>
          <w:rFonts w:ascii="Garamond" w:eastAsia="Calibri" w:hAnsi="Garamond" w:cs="Times New Roman"/>
          <w:sz w:val="24"/>
          <w:szCs w:val="24"/>
          <w:lang w:val="en-US"/>
        </w:rPr>
      </w:pPr>
    </w:p>
    <w:p w:rsidR="00DA3D94" w:rsidRPr="00DA3D94" w:rsidRDefault="00DA3D94" w:rsidP="00DA3D94">
      <w:pPr>
        <w:numPr>
          <w:ilvl w:val="0"/>
          <w:numId w:val="31"/>
        </w:numPr>
        <w:spacing w:after="0"/>
        <w:contextualSpacing/>
        <w:rPr>
          <w:rFonts w:ascii="Garamond" w:eastAsia="Calibri" w:hAnsi="Garamond" w:cs="Times New Roman"/>
          <w:sz w:val="24"/>
          <w:szCs w:val="24"/>
          <w:lang w:val="en-US"/>
        </w:rPr>
      </w:pPr>
      <w:r w:rsidRPr="00DA3D94">
        <w:rPr>
          <w:rFonts w:ascii="Garamond" w:eastAsia="Calibri" w:hAnsi="Garamond" w:cs="Times New Roman"/>
          <w:sz w:val="24"/>
          <w:szCs w:val="24"/>
          <w:lang w:val="en-US"/>
        </w:rPr>
        <w:t>The Dividend increases as ANI increases</w:t>
      </w:r>
    </w:p>
    <w:p w:rsidR="00DA3D94" w:rsidRPr="00DA3D94" w:rsidRDefault="00DA3D94" w:rsidP="00DA3D94">
      <w:pPr>
        <w:spacing w:after="0"/>
        <w:ind w:left="720"/>
        <w:contextualSpacing/>
        <w:rPr>
          <w:rFonts w:ascii="Garamond" w:eastAsia="Calibri" w:hAnsi="Garamond" w:cs="Times New Roman"/>
          <w:sz w:val="24"/>
          <w:szCs w:val="24"/>
          <w:lang w:val="en-US"/>
        </w:rPr>
      </w:pPr>
    </w:p>
    <w:p w:rsidR="00DA3D94" w:rsidRPr="00DA3D94" w:rsidRDefault="00DA3D94" w:rsidP="00DA3D94">
      <w:pPr>
        <w:spacing w:after="0"/>
        <w:ind w:left="1440"/>
        <w:rPr>
          <w:rFonts w:ascii="Garamond" w:eastAsia="Calibri" w:hAnsi="Garamond" w:cs="Times New Roman"/>
          <w:sz w:val="24"/>
          <w:szCs w:val="24"/>
          <w:lang w:val="en-US"/>
        </w:rPr>
      </w:pPr>
      <w:r w:rsidRPr="00DA3D94">
        <w:rPr>
          <w:rFonts w:ascii="Garamond" w:eastAsia="Calibri" w:hAnsi="Garamond" w:cs="Times New Roman"/>
          <w:sz w:val="24"/>
          <w:szCs w:val="24"/>
          <w:lang w:val="en-US"/>
        </w:rPr>
        <w:t>In Phase 3, ANI&gt;4*FT   and   Div = 0.9*FT + 0.1/4*ANI ■</w:t>
      </w:r>
    </w:p>
    <w:p w:rsidR="00951B95" w:rsidRPr="005111FC" w:rsidRDefault="00951B95" w:rsidP="005111FC">
      <w:pPr>
        <w:ind w:left="360"/>
        <w:rPr>
          <w:rFonts w:ascii="Garamond" w:hAnsi="Garamond"/>
          <w:sz w:val="26"/>
          <w:szCs w:val="26"/>
          <w:lang w:val="en-US"/>
        </w:rPr>
      </w:pPr>
    </w:p>
    <w:p w:rsidR="00951B95" w:rsidRDefault="00951B95" w:rsidP="00951B95">
      <w:pPr>
        <w:pStyle w:val="Heading3"/>
        <w:numPr>
          <w:ilvl w:val="0"/>
          <w:numId w:val="29"/>
        </w:numPr>
        <w:spacing w:before="0" w:after="120"/>
        <w:rPr>
          <w:color w:val="149346"/>
          <w:lang w:val="en-US"/>
        </w:rPr>
      </w:pPr>
      <w:bookmarkStart w:id="24" w:name="_Toc403474339"/>
      <w:r w:rsidRPr="00A742CB">
        <w:rPr>
          <w:color w:val="149346"/>
          <w:lang w:val="en-US"/>
        </w:rPr>
        <w:t xml:space="preserve">Dividends on </w:t>
      </w:r>
      <w:r w:rsidR="003F5163">
        <w:rPr>
          <w:color w:val="149346"/>
          <w:lang w:val="en-US"/>
        </w:rPr>
        <w:t>Common Stocks: a slow and conditional accrual of dividends</w:t>
      </w:r>
      <w:bookmarkEnd w:id="24"/>
    </w:p>
    <w:p w:rsidR="005111FC" w:rsidRPr="005111FC" w:rsidRDefault="003F5163" w:rsidP="005111FC">
      <w:pPr>
        <w:ind w:left="360"/>
        <w:rPr>
          <w:rFonts w:ascii="Garamond" w:hAnsi="Garamond"/>
          <w:sz w:val="26"/>
          <w:szCs w:val="26"/>
          <w:lang w:val="en-US"/>
        </w:rPr>
      </w:pPr>
      <w:r w:rsidRPr="003F5163">
        <w:rPr>
          <w:rFonts w:ascii="Garamond" w:hAnsi="Garamond"/>
          <w:sz w:val="26"/>
          <w:szCs w:val="26"/>
          <w:lang w:val="en-US"/>
        </w:rPr>
        <w:t xml:space="preserve">Common Holders shall be entitled to receive, and the Corporation shall pay out of funds legally available therefor, cumulative dividends at the rate per share equal </w:t>
      </w:r>
      <w:r w:rsidR="00103811">
        <w:rPr>
          <w:rFonts w:ascii="Garamond" w:hAnsi="Garamond"/>
          <w:sz w:val="26"/>
          <w:szCs w:val="26"/>
          <w:lang w:val="en-US"/>
        </w:rPr>
        <w:t xml:space="preserve">to the Dividend/TSF*div_TSC/TSC, </w:t>
      </w:r>
      <w:r w:rsidRPr="003F5163">
        <w:rPr>
          <w:rFonts w:ascii="Garamond" w:hAnsi="Garamond"/>
          <w:sz w:val="26"/>
          <w:szCs w:val="26"/>
          <w:lang w:val="en-US"/>
        </w:rPr>
        <w:t>payable in cash</w:t>
      </w:r>
      <w:r>
        <w:rPr>
          <w:rFonts w:ascii="Garamond" w:hAnsi="Garamond"/>
          <w:sz w:val="26"/>
          <w:szCs w:val="26"/>
          <w:lang w:val="en-US"/>
        </w:rPr>
        <w:t>:</w:t>
      </w:r>
    </w:p>
    <w:p w:rsidR="003F5163" w:rsidRDefault="003F5163" w:rsidP="003F5163">
      <w:pPr>
        <w:ind w:left="360"/>
        <w:rPr>
          <w:rFonts w:ascii="Garamond" w:hAnsi="Garamond"/>
          <w:sz w:val="26"/>
          <w:szCs w:val="26"/>
          <w:lang w:val="en-US"/>
        </w:rPr>
      </w:pPr>
      <w:r w:rsidRPr="003F5163">
        <w:rPr>
          <w:rFonts w:ascii="Garamond" w:hAnsi="Garamond"/>
          <w:sz w:val="26"/>
          <w:szCs w:val="26"/>
          <w:lang w:val="en-US"/>
        </w:rPr>
        <w:t xml:space="preserve">Beginning on the third anniversary of the Original Issue </w:t>
      </w:r>
      <w:r>
        <w:rPr>
          <w:rFonts w:ascii="Garamond" w:hAnsi="Garamond"/>
          <w:sz w:val="26"/>
          <w:szCs w:val="26"/>
          <w:lang w:val="en-US"/>
        </w:rPr>
        <w:t>Date:</w:t>
      </w:r>
    </w:p>
    <w:p w:rsidR="003F5163" w:rsidRPr="003F5163" w:rsidRDefault="003F5163" w:rsidP="003F5163">
      <w:pPr>
        <w:numPr>
          <w:ilvl w:val="0"/>
          <w:numId w:val="5"/>
        </w:numPr>
        <w:contextualSpacing/>
        <w:rPr>
          <w:rFonts w:ascii="Garamond" w:hAnsi="Garamond"/>
          <w:sz w:val="26"/>
          <w:szCs w:val="26"/>
          <w:lang w:val="en-US"/>
        </w:rPr>
      </w:pPr>
      <w:r w:rsidRPr="003F5163">
        <w:rPr>
          <w:rFonts w:ascii="Garamond" w:hAnsi="Garamond"/>
          <w:sz w:val="26"/>
          <w:szCs w:val="26"/>
          <w:lang w:val="en-US"/>
        </w:rPr>
        <w:t>for fiscal yea</w:t>
      </w:r>
      <w:r w:rsidR="00287AA0">
        <w:rPr>
          <w:rFonts w:ascii="Garamond" w:hAnsi="Garamond"/>
          <w:sz w:val="26"/>
          <w:szCs w:val="26"/>
          <w:lang w:val="en-US"/>
        </w:rPr>
        <w:t>rs where ANI is at least 1 time</w:t>
      </w:r>
      <w:r w:rsidRPr="003F5163">
        <w:rPr>
          <w:rFonts w:ascii="Garamond" w:hAnsi="Garamond"/>
          <w:sz w:val="26"/>
          <w:szCs w:val="26"/>
          <w:lang w:val="en-US"/>
        </w:rPr>
        <w:t>, but less than 4 times the Floating Threshold of the previous year, div_TSC will increase by adding 2%*(TSP+TSC), as of the last day of such fiscal year to div_TSC as of the last day of the prior fiscal year (pro-rated for the first fiscal year based on the number of days from the third anniversary of the Original Issue Date until the end of such fiscal year); and</w:t>
      </w:r>
    </w:p>
    <w:p w:rsidR="003F5163" w:rsidRPr="003F5163" w:rsidRDefault="003F5163" w:rsidP="003F5163">
      <w:pPr>
        <w:numPr>
          <w:ilvl w:val="0"/>
          <w:numId w:val="5"/>
        </w:numPr>
        <w:contextualSpacing/>
        <w:rPr>
          <w:rFonts w:ascii="Garamond" w:hAnsi="Garamond"/>
          <w:sz w:val="26"/>
          <w:szCs w:val="26"/>
          <w:lang w:val="en-US"/>
        </w:rPr>
      </w:pPr>
      <w:r>
        <w:rPr>
          <w:rFonts w:ascii="Garamond" w:hAnsi="Garamond"/>
          <w:sz w:val="26"/>
          <w:szCs w:val="26"/>
          <w:lang w:val="en-US"/>
        </w:rPr>
        <w:t>f</w:t>
      </w:r>
      <w:r w:rsidRPr="003F5163">
        <w:rPr>
          <w:rFonts w:ascii="Garamond" w:hAnsi="Garamond"/>
          <w:sz w:val="26"/>
          <w:szCs w:val="26"/>
          <w:lang w:val="en-US"/>
        </w:rPr>
        <w:t>or fiscal years where ANI is greater than or equal to 4 times the Floating Threshold of the previous year, div_TSC will increase by adding 8%*(TSP+TSC), as of the last day of such fiscal year to div_TSC as of the last day of the prior fiscal year.</w:t>
      </w:r>
    </w:p>
    <w:p w:rsidR="005111FC" w:rsidRDefault="003F5163" w:rsidP="003F5163">
      <w:pPr>
        <w:ind w:left="360"/>
        <w:rPr>
          <w:rFonts w:ascii="Garamond" w:hAnsi="Garamond"/>
          <w:sz w:val="26"/>
          <w:szCs w:val="26"/>
          <w:lang w:val="en-US"/>
        </w:rPr>
      </w:pPr>
      <w:r w:rsidRPr="003F5163">
        <w:rPr>
          <w:rFonts w:ascii="Garamond" w:hAnsi="Garamond"/>
          <w:sz w:val="26"/>
          <w:szCs w:val="26"/>
          <w:lang w:val="en-US"/>
        </w:rPr>
        <w:t>In either case, until TSP+TSC = TSF (at which point, no further increases to div_TSC will be made).</w:t>
      </w:r>
    </w:p>
    <w:p w:rsidR="005334FD" w:rsidRDefault="005334FD" w:rsidP="003F5163">
      <w:pPr>
        <w:ind w:left="360"/>
        <w:rPr>
          <w:rFonts w:ascii="Garamond" w:hAnsi="Garamond"/>
          <w:sz w:val="26"/>
          <w:szCs w:val="26"/>
          <w:lang w:val="en-US"/>
        </w:rPr>
      </w:pPr>
    </w:p>
    <w:p w:rsidR="005334FD" w:rsidRDefault="005334FD" w:rsidP="003F5163">
      <w:pPr>
        <w:ind w:left="360"/>
        <w:rPr>
          <w:rFonts w:ascii="Garamond" w:hAnsi="Garamond"/>
          <w:sz w:val="26"/>
          <w:szCs w:val="26"/>
          <w:lang w:val="en-US"/>
        </w:rPr>
      </w:pPr>
    </w:p>
    <w:p w:rsidR="003F5163" w:rsidRPr="003F5163" w:rsidRDefault="003F5163" w:rsidP="003F5163">
      <w:pPr>
        <w:ind w:left="360"/>
        <w:rPr>
          <w:rFonts w:ascii="Garamond" w:hAnsi="Garamond"/>
          <w:sz w:val="26"/>
          <w:szCs w:val="26"/>
          <w:u w:val="single"/>
          <w:lang w:val="en-US"/>
        </w:rPr>
      </w:pPr>
      <w:r w:rsidRPr="003F5163">
        <w:rPr>
          <w:rFonts w:ascii="Garamond" w:hAnsi="Garamond"/>
          <w:sz w:val="26"/>
          <w:szCs w:val="26"/>
          <w:u w:val="single"/>
          <w:lang w:val="en-US"/>
        </w:rPr>
        <w:t>In more mathematical terms</w:t>
      </w:r>
    </w:p>
    <w:p w:rsidR="003F5163" w:rsidRPr="003F5163" w:rsidRDefault="003F5163" w:rsidP="003F5163">
      <w:pPr>
        <w:spacing w:after="0"/>
        <w:ind w:left="720"/>
        <w:contextualSpacing/>
        <w:rPr>
          <w:rFonts w:ascii="Garamond" w:eastAsia="Calibri" w:hAnsi="Garamond" w:cs="Times New Roman"/>
          <w:sz w:val="24"/>
          <w:szCs w:val="24"/>
          <w:lang w:val="en-US"/>
        </w:rPr>
      </w:pPr>
      <w:r w:rsidRPr="003F5163">
        <w:rPr>
          <w:rFonts w:ascii="Garamond" w:eastAsia="Calibri" w:hAnsi="Garamond" w:cs="Times New Roman"/>
          <w:sz w:val="24"/>
          <w:szCs w:val="24"/>
          <w:lang w:val="en-US"/>
        </w:rPr>
        <w:t>When: Capital return date =&gt; for ever</w:t>
      </w:r>
    </w:p>
    <w:p w:rsidR="003F5163" w:rsidRPr="003F5163" w:rsidRDefault="003F5163" w:rsidP="003F5163">
      <w:pPr>
        <w:spacing w:after="0"/>
        <w:ind w:left="720"/>
        <w:contextualSpacing/>
        <w:rPr>
          <w:rFonts w:ascii="Garamond" w:eastAsia="Calibri" w:hAnsi="Garamond" w:cs="Times New Roman"/>
          <w:sz w:val="24"/>
          <w:szCs w:val="24"/>
          <w:lang w:val="en-US"/>
        </w:rPr>
      </w:pPr>
      <w:r w:rsidRPr="003F5163">
        <w:rPr>
          <w:rFonts w:ascii="Garamond" w:eastAsia="Calibri" w:hAnsi="Garamond" w:cs="Times New Roman"/>
          <w:sz w:val="24"/>
          <w:szCs w:val="24"/>
          <w:lang w:val="en-US"/>
        </w:rPr>
        <w:tab/>
        <w:t>And: 1* FT(year n-1) &lt; ANI &lt; 4* FT(year n-1)</w:t>
      </w:r>
    </w:p>
    <w:p w:rsidR="003F5163" w:rsidRPr="003F5163" w:rsidRDefault="003F5163" w:rsidP="003F5163">
      <w:pPr>
        <w:spacing w:after="0"/>
        <w:ind w:left="720"/>
        <w:contextualSpacing/>
        <w:rPr>
          <w:rFonts w:ascii="Garamond" w:eastAsia="Calibri" w:hAnsi="Garamond" w:cs="Times New Roman"/>
          <w:sz w:val="24"/>
          <w:szCs w:val="24"/>
          <w:lang w:val="en-US"/>
        </w:rPr>
      </w:pPr>
      <w:r w:rsidRPr="003F5163">
        <w:rPr>
          <w:rFonts w:ascii="Garamond" w:eastAsia="Calibri" w:hAnsi="Garamond" w:cs="Times New Roman"/>
          <w:sz w:val="24"/>
          <w:szCs w:val="24"/>
          <w:lang w:val="en-US"/>
        </w:rPr>
        <w:t>Div_TSC(year n) = Div_TSC(year n-1) + 2% (TSP + TSC)</w:t>
      </w:r>
    </w:p>
    <w:p w:rsidR="003F5163" w:rsidRPr="003F5163" w:rsidRDefault="003F5163" w:rsidP="003F5163">
      <w:pPr>
        <w:spacing w:after="0"/>
        <w:ind w:left="720"/>
        <w:contextualSpacing/>
        <w:rPr>
          <w:rFonts w:ascii="Garamond" w:eastAsia="Calibri" w:hAnsi="Garamond" w:cs="Times New Roman"/>
          <w:sz w:val="24"/>
          <w:szCs w:val="24"/>
          <w:lang w:val="en-US"/>
        </w:rPr>
      </w:pPr>
      <w:r w:rsidRPr="003F5163">
        <w:rPr>
          <w:rFonts w:ascii="Garamond" w:eastAsia="Calibri" w:hAnsi="Garamond" w:cs="Times New Roman"/>
          <w:sz w:val="24"/>
          <w:szCs w:val="24"/>
          <w:lang w:val="en-US"/>
        </w:rPr>
        <w:tab/>
        <w:t>Subject to Div_TSC(year n) ≤ TSC</w:t>
      </w:r>
    </w:p>
    <w:p w:rsidR="003F5163" w:rsidRPr="003F5163" w:rsidRDefault="003F5163" w:rsidP="003F5163">
      <w:pPr>
        <w:spacing w:after="0"/>
        <w:ind w:left="720"/>
        <w:contextualSpacing/>
        <w:rPr>
          <w:rFonts w:ascii="Garamond" w:eastAsia="Calibri" w:hAnsi="Garamond" w:cs="Times New Roman"/>
          <w:sz w:val="24"/>
          <w:szCs w:val="24"/>
          <w:lang w:val="en-US"/>
        </w:rPr>
      </w:pPr>
      <w:r w:rsidRPr="003F5163">
        <w:rPr>
          <w:rFonts w:ascii="Garamond" w:eastAsia="Calibri" w:hAnsi="Garamond" w:cs="Times New Roman"/>
          <w:sz w:val="24"/>
          <w:szCs w:val="24"/>
          <w:lang w:val="en-US"/>
        </w:rPr>
        <w:t>In other words, subject to an ANI comprised between 1 time and 4 times the floating threshold of the previous year, the number of dividend-accruing common stocks on a given year is the number from the previous year plus 2% of the total number of stocks, as long as this number is lower than the total number of common stocks.</w:t>
      </w:r>
    </w:p>
    <w:p w:rsidR="003F5163" w:rsidRPr="003F5163" w:rsidRDefault="003F5163" w:rsidP="003F5163">
      <w:pPr>
        <w:spacing w:after="0"/>
        <w:ind w:left="720"/>
        <w:contextualSpacing/>
        <w:rPr>
          <w:rFonts w:ascii="Garamond" w:eastAsia="Calibri" w:hAnsi="Garamond" w:cs="Times New Roman"/>
          <w:sz w:val="24"/>
          <w:szCs w:val="24"/>
          <w:lang w:val="en-US"/>
        </w:rPr>
      </w:pPr>
    </w:p>
    <w:p w:rsidR="003F5163" w:rsidRPr="003F5163" w:rsidRDefault="003F5163" w:rsidP="003F5163">
      <w:pPr>
        <w:spacing w:after="0"/>
        <w:ind w:left="720"/>
        <w:contextualSpacing/>
        <w:rPr>
          <w:rFonts w:ascii="Garamond" w:eastAsia="Calibri" w:hAnsi="Garamond" w:cs="Times New Roman"/>
          <w:sz w:val="24"/>
          <w:szCs w:val="24"/>
          <w:lang w:val="en-US"/>
        </w:rPr>
      </w:pPr>
      <w:r w:rsidRPr="003F5163">
        <w:rPr>
          <w:rFonts w:ascii="Garamond" w:eastAsia="Calibri" w:hAnsi="Garamond" w:cs="Times New Roman"/>
          <w:sz w:val="24"/>
          <w:szCs w:val="24"/>
          <w:lang w:val="en-US"/>
        </w:rPr>
        <w:t>When: Capital return date =&gt; for ever</w:t>
      </w:r>
    </w:p>
    <w:p w:rsidR="003F5163" w:rsidRPr="003F5163" w:rsidRDefault="003F5163" w:rsidP="003F5163">
      <w:pPr>
        <w:spacing w:after="0"/>
        <w:ind w:left="720"/>
        <w:contextualSpacing/>
        <w:rPr>
          <w:rFonts w:ascii="Garamond" w:eastAsia="Calibri" w:hAnsi="Garamond" w:cs="Times New Roman"/>
          <w:sz w:val="24"/>
          <w:szCs w:val="24"/>
          <w:lang w:val="en-US"/>
        </w:rPr>
      </w:pPr>
      <w:r w:rsidRPr="003F5163">
        <w:rPr>
          <w:rFonts w:ascii="Garamond" w:eastAsia="Calibri" w:hAnsi="Garamond" w:cs="Times New Roman"/>
          <w:sz w:val="24"/>
          <w:szCs w:val="24"/>
          <w:lang w:val="en-US"/>
        </w:rPr>
        <w:tab/>
        <w:t>And: ANI ≥ 4* FT(year n-1)</w:t>
      </w:r>
    </w:p>
    <w:p w:rsidR="003F5163" w:rsidRPr="003F5163" w:rsidRDefault="003F5163" w:rsidP="003F5163">
      <w:pPr>
        <w:spacing w:after="0"/>
        <w:ind w:left="720"/>
        <w:contextualSpacing/>
        <w:rPr>
          <w:rFonts w:ascii="Garamond" w:eastAsia="Calibri" w:hAnsi="Garamond" w:cs="Times New Roman"/>
          <w:sz w:val="24"/>
          <w:szCs w:val="24"/>
          <w:lang w:val="en-US"/>
        </w:rPr>
      </w:pPr>
      <w:r w:rsidRPr="003F5163">
        <w:rPr>
          <w:rFonts w:ascii="Garamond" w:eastAsia="Calibri" w:hAnsi="Garamond" w:cs="Times New Roman"/>
          <w:sz w:val="24"/>
          <w:szCs w:val="24"/>
          <w:lang w:val="en-US"/>
        </w:rPr>
        <w:t xml:space="preserve">Div_TSC(year n) = Div_TSC(year n-1) + 8% (TSP + TSC) </w:t>
      </w:r>
    </w:p>
    <w:p w:rsidR="003F5163" w:rsidRPr="003F5163" w:rsidRDefault="003F5163" w:rsidP="003F5163">
      <w:pPr>
        <w:spacing w:after="0"/>
        <w:ind w:left="720"/>
        <w:contextualSpacing/>
        <w:rPr>
          <w:rFonts w:ascii="Garamond" w:eastAsia="Calibri" w:hAnsi="Garamond" w:cs="Times New Roman"/>
          <w:sz w:val="24"/>
          <w:szCs w:val="24"/>
          <w:lang w:val="en-US"/>
        </w:rPr>
      </w:pPr>
      <w:r w:rsidRPr="003F5163">
        <w:rPr>
          <w:rFonts w:ascii="Garamond" w:eastAsia="Calibri" w:hAnsi="Garamond" w:cs="Times New Roman"/>
          <w:sz w:val="24"/>
          <w:szCs w:val="24"/>
          <w:lang w:val="en-US"/>
        </w:rPr>
        <w:tab/>
        <w:t>Subject to Div_TSC(year n) ≤ TSC</w:t>
      </w:r>
    </w:p>
    <w:p w:rsidR="003F5163" w:rsidRPr="003F5163" w:rsidRDefault="003F5163" w:rsidP="003F5163">
      <w:pPr>
        <w:spacing w:after="0"/>
        <w:ind w:left="720"/>
        <w:contextualSpacing/>
        <w:rPr>
          <w:rFonts w:ascii="Garamond" w:eastAsia="Calibri" w:hAnsi="Garamond" w:cs="Times New Roman"/>
          <w:sz w:val="24"/>
          <w:szCs w:val="24"/>
          <w:lang w:val="en-US"/>
        </w:rPr>
      </w:pPr>
      <w:r w:rsidRPr="003F5163">
        <w:rPr>
          <w:rFonts w:ascii="Garamond" w:eastAsia="Calibri" w:hAnsi="Garamond" w:cs="Times New Roman"/>
          <w:sz w:val="24"/>
          <w:szCs w:val="24"/>
          <w:lang w:val="en-US"/>
        </w:rPr>
        <w:t>In other words, subject to an ANI greater than 4 times the floating threshold of the previous year, the number of dividend-accruing common stocks on a given year is the number from the previous year plus 8% of the total number of stocks, as long as this number is lower than the total number of common stocks.</w:t>
      </w:r>
    </w:p>
    <w:p w:rsidR="000E1551" w:rsidRPr="005111FC" w:rsidRDefault="000E1551" w:rsidP="000E1551">
      <w:pPr>
        <w:ind w:left="360"/>
        <w:rPr>
          <w:rFonts w:ascii="Garamond" w:hAnsi="Garamond"/>
          <w:sz w:val="26"/>
          <w:szCs w:val="26"/>
          <w:lang w:val="en-US"/>
        </w:rPr>
      </w:pPr>
    </w:p>
    <w:p w:rsidR="000E1551" w:rsidRDefault="000E1551" w:rsidP="000E1551">
      <w:pPr>
        <w:pStyle w:val="Heading3"/>
        <w:numPr>
          <w:ilvl w:val="0"/>
          <w:numId w:val="29"/>
        </w:numPr>
        <w:spacing w:before="0" w:after="120"/>
        <w:rPr>
          <w:color w:val="149346"/>
          <w:lang w:val="en-US"/>
        </w:rPr>
      </w:pPr>
      <w:bookmarkStart w:id="25" w:name="_Toc403474340"/>
      <w:r>
        <w:rPr>
          <w:color w:val="149346"/>
          <w:lang w:val="en-US"/>
        </w:rPr>
        <w:t xml:space="preserve">PIARCS’ </w:t>
      </w:r>
      <w:r w:rsidR="001350BC">
        <w:rPr>
          <w:color w:val="149346"/>
          <w:lang w:val="en-US"/>
        </w:rPr>
        <w:t>dividend projections</w:t>
      </w:r>
      <w:bookmarkEnd w:id="25"/>
    </w:p>
    <w:p w:rsidR="000946FA" w:rsidRDefault="000E1551" w:rsidP="00B91855">
      <w:pPr>
        <w:ind w:left="360"/>
        <w:rPr>
          <w:rFonts w:ascii="Garamond" w:hAnsi="Garamond"/>
          <w:sz w:val="26"/>
          <w:szCs w:val="26"/>
          <w:u w:val="single"/>
          <w:lang w:val="en-US"/>
        </w:rPr>
      </w:pPr>
      <w:r w:rsidRPr="000E1551">
        <w:rPr>
          <w:rFonts w:ascii="Garamond" w:hAnsi="Garamond"/>
          <w:sz w:val="26"/>
          <w:szCs w:val="26"/>
          <w:lang w:val="en-US"/>
        </w:rPr>
        <w:t>As the Annual Net Income increases,</w:t>
      </w:r>
      <w:r>
        <w:rPr>
          <w:rFonts w:ascii="Garamond" w:hAnsi="Garamond"/>
          <w:sz w:val="26"/>
          <w:szCs w:val="26"/>
          <w:lang w:val="en-US"/>
        </w:rPr>
        <w:t xml:space="preserve"> </w:t>
      </w:r>
      <w:r w:rsidRPr="000E1551">
        <w:rPr>
          <w:rFonts w:ascii="Garamond" w:hAnsi="Garamond"/>
          <w:sz w:val="26"/>
          <w:szCs w:val="26"/>
          <w:lang w:val="en-US"/>
        </w:rPr>
        <w:t>dividends increase</w:t>
      </w:r>
      <w:r w:rsidR="00DF0715">
        <w:rPr>
          <w:rFonts w:ascii="Garamond" w:hAnsi="Garamond"/>
          <w:sz w:val="26"/>
          <w:szCs w:val="26"/>
          <w:lang w:val="en-US"/>
        </w:rPr>
        <w:t xml:space="preserve"> (</w:t>
      </w:r>
      <w:r w:rsidR="00DF0715" w:rsidRPr="00DF0715">
        <w:rPr>
          <w:rFonts w:ascii="Garamond" w:hAnsi="Garamond"/>
          <w:b/>
          <w:sz w:val="26"/>
          <w:szCs w:val="26"/>
          <w:lang w:val="en-US"/>
        </w:rPr>
        <w:t>Fig.</w:t>
      </w:r>
      <w:r w:rsidRPr="00DF0715">
        <w:rPr>
          <w:rFonts w:ascii="Garamond" w:hAnsi="Garamond"/>
          <w:b/>
          <w:sz w:val="26"/>
          <w:szCs w:val="26"/>
          <w:lang w:val="en-US"/>
        </w:rPr>
        <w:t xml:space="preserve"> </w:t>
      </w:r>
      <w:r w:rsidR="00DF0715" w:rsidRPr="00DF0715">
        <w:rPr>
          <w:rFonts w:ascii="Garamond" w:hAnsi="Garamond"/>
          <w:b/>
          <w:sz w:val="26"/>
          <w:szCs w:val="26"/>
          <w:lang w:val="en-US"/>
        </w:rPr>
        <w:t>7</w:t>
      </w:r>
      <w:r>
        <w:rPr>
          <w:rFonts w:ascii="Garamond" w:hAnsi="Garamond"/>
          <w:sz w:val="26"/>
          <w:szCs w:val="26"/>
          <w:lang w:val="en-US"/>
        </w:rPr>
        <w:t>)</w:t>
      </w:r>
      <w:r w:rsidRPr="000E1551">
        <w:rPr>
          <w:rFonts w:ascii="Garamond" w:hAnsi="Garamond"/>
          <w:sz w:val="26"/>
          <w:szCs w:val="26"/>
          <w:lang w:val="en-US"/>
        </w:rPr>
        <w:t xml:space="preserve"> while financial burden decreases</w:t>
      </w:r>
      <w:r w:rsidR="000946FA">
        <w:rPr>
          <w:rFonts w:ascii="Garamond" w:hAnsi="Garamond"/>
          <w:sz w:val="26"/>
          <w:szCs w:val="26"/>
          <w:lang w:val="en-US"/>
        </w:rPr>
        <w:t xml:space="preserve"> (</w:t>
      </w:r>
      <w:r w:rsidR="00DF0715" w:rsidRPr="00DF0715">
        <w:rPr>
          <w:rFonts w:ascii="Garamond" w:hAnsi="Garamond"/>
          <w:b/>
          <w:sz w:val="26"/>
          <w:szCs w:val="26"/>
          <w:lang w:val="en-US"/>
        </w:rPr>
        <w:t xml:space="preserve">Fig. </w:t>
      </w:r>
      <w:r w:rsidR="00DF0715">
        <w:rPr>
          <w:rFonts w:ascii="Garamond" w:hAnsi="Garamond"/>
          <w:b/>
          <w:sz w:val="26"/>
          <w:szCs w:val="26"/>
          <w:lang w:val="en-US"/>
        </w:rPr>
        <w:t>8</w:t>
      </w:r>
      <w:r w:rsidR="000946FA">
        <w:rPr>
          <w:rFonts w:ascii="Garamond" w:hAnsi="Garamond"/>
          <w:sz w:val="26"/>
          <w:szCs w:val="26"/>
          <w:lang w:val="en-US"/>
        </w:rPr>
        <w:t>).</w:t>
      </w:r>
      <w:r w:rsidR="00E7159D">
        <w:rPr>
          <w:rFonts w:ascii="Garamond" w:hAnsi="Garamond"/>
          <w:sz w:val="26"/>
          <w:szCs w:val="26"/>
          <w:lang w:val="en-US"/>
        </w:rPr>
        <w:t xml:space="preserve">  By Year 6, 4X projected ROI from dividends only; by Year 11, 29X ROI; by Year 16, 79X ROI.</w:t>
      </w:r>
      <w:r w:rsidR="00E7159D" w:rsidRPr="00E7159D">
        <w:rPr>
          <w:rFonts w:ascii="Garamond" w:hAnsi="Garamond"/>
          <w:noProof/>
          <w:sz w:val="26"/>
          <w:szCs w:val="26"/>
          <w:u w:val="single"/>
          <w:lang w:val="en-US"/>
        </w:rPr>
        <w:drawing>
          <wp:inline distT="0" distB="0" distL="0" distR="0" wp14:anchorId="043BD5CF" wp14:editId="62574AB9">
            <wp:extent cx="4305300" cy="2884459"/>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2"/>
                    <a:stretch>
                      <a:fillRect/>
                    </a:stretch>
                  </pic:blipFill>
                  <pic:spPr>
                    <a:xfrm>
                      <a:off x="0" y="0"/>
                      <a:ext cx="4308385" cy="2886526"/>
                    </a:xfrm>
                    <a:prstGeom prst="rect">
                      <a:avLst/>
                    </a:prstGeom>
                  </pic:spPr>
                </pic:pic>
              </a:graphicData>
            </a:graphic>
          </wp:inline>
        </w:drawing>
      </w:r>
    </w:p>
    <w:p w:rsidR="001808A0" w:rsidRDefault="001808A0" w:rsidP="000946FA">
      <w:pPr>
        <w:spacing w:after="0"/>
        <w:ind w:left="1800"/>
        <w:rPr>
          <w:rFonts w:ascii="Garamond" w:hAnsi="Garamond"/>
          <w:sz w:val="26"/>
          <w:szCs w:val="26"/>
          <w:lang w:val="en-US"/>
        </w:rPr>
      </w:pPr>
      <w:r>
        <w:rPr>
          <w:rFonts w:ascii="Garamond" w:hAnsi="Garamond"/>
          <w:b/>
          <w:sz w:val="26"/>
          <w:szCs w:val="26"/>
          <w:lang w:val="en-US"/>
        </w:rPr>
        <w:t xml:space="preserve">Figure </w:t>
      </w:r>
      <w:r w:rsidR="00DF0715">
        <w:rPr>
          <w:rFonts w:ascii="Garamond" w:hAnsi="Garamond"/>
          <w:b/>
          <w:sz w:val="26"/>
          <w:szCs w:val="26"/>
          <w:lang w:val="en-US"/>
        </w:rPr>
        <w:t>7</w:t>
      </w:r>
      <w:r w:rsidRPr="00833C3E">
        <w:rPr>
          <w:rFonts w:ascii="Garamond" w:hAnsi="Garamond"/>
          <w:b/>
          <w:sz w:val="26"/>
          <w:szCs w:val="26"/>
          <w:lang w:val="en-US"/>
        </w:rPr>
        <w:t xml:space="preserve">. </w:t>
      </w:r>
      <w:r>
        <w:rPr>
          <w:rFonts w:ascii="Garamond" w:hAnsi="Garamond"/>
          <w:b/>
          <w:sz w:val="26"/>
          <w:szCs w:val="26"/>
          <w:lang w:val="en-US"/>
        </w:rPr>
        <w:t xml:space="preserve">Proposed dividends based on projected </w:t>
      </w:r>
      <w:r w:rsidR="00244424">
        <w:rPr>
          <w:rFonts w:ascii="Garamond" w:hAnsi="Garamond"/>
          <w:b/>
          <w:sz w:val="26"/>
          <w:szCs w:val="26"/>
          <w:lang w:val="en-US"/>
        </w:rPr>
        <w:t xml:space="preserve">partial </w:t>
      </w:r>
      <w:r>
        <w:rPr>
          <w:rFonts w:ascii="Garamond" w:hAnsi="Garamond"/>
          <w:b/>
          <w:sz w:val="26"/>
          <w:szCs w:val="26"/>
          <w:lang w:val="en-US"/>
        </w:rPr>
        <w:t>income</w:t>
      </w:r>
      <w:r>
        <w:rPr>
          <w:rFonts w:ascii="Garamond" w:hAnsi="Garamond"/>
          <w:sz w:val="26"/>
          <w:szCs w:val="26"/>
          <w:lang w:val="en-US"/>
        </w:rPr>
        <w:t xml:space="preserve"> </w:t>
      </w:r>
    </w:p>
    <w:p w:rsidR="00625158" w:rsidRDefault="009C0279" w:rsidP="000946FA">
      <w:pPr>
        <w:jc w:val="center"/>
        <w:rPr>
          <w:rFonts w:ascii="Garamond" w:hAnsi="Garamond"/>
          <w:sz w:val="26"/>
          <w:szCs w:val="26"/>
          <w:u w:val="single"/>
          <w:lang w:val="en-US"/>
        </w:rPr>
      </w:pPr>
      <w:r>
        <w:rPr>
          <w:rFonts w:ascii="Garamond" w:hAnsi="Garamond"/>
          <w:noProof/>
          <w:sz w:val="26"/>
          <w:szCs w:val="26"/>
          <w:u w:val="single"/>
          <w:lang w:val="en-US"/>
        </w:rPr>
        <w:drawing>
          <wp:inline distT="0" distB="0" distL="0" distR="0" wp14:anchorId="3D9A4EE2">
            <wp:extent cx="3017520" cy="2155129"/>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17520" cy="2155129"/>
                    </a:xfrm>
                    <a:prstGeom prst="rect">
                      <a:avLst/>
                    </a:prstGeom>
                    <a:noFill/>
                  </pic:spPr>
                </pic:pic>
              </a:graphicData>
            </a:graphic>
          </wp:inline>
        </w:drawing>
      </w:r>
    </w:p>
    <w:p w:rsidR="00DC4708" w:rsidRDefault="000946FA" w:rsidP="000946FA">
      <w:pPr>
        <w:spacing w:after="0"/>
        <w:ind w:left="1800"/>
        <w:rPr>
          <w:rFonts w:ascii="Garamond" w:hAnsi="Garamond"/>
          <w:b/>
          <w:sz w:val="26"/>
          <w:szCs w:val="26"/>
          <w:lang w:val="en-US"/>
        </w:rPr>
      </w:pPr>
      <w:r>
        <w:rPr>
          <w:rFonts w:ascii="Garamond" w:hAnsi="Garamond"/>
          <w:b/>
          <w:sz w:val="26"/>
          <w:szCs w:val="26"/>
          <w:lang w:val="en-US"/>
        </w:rPr>
        <w:t xml:space="preserve">Figure </w:t>
      </w:r>
      <w:r w:rsidR="00DF0715">
        <w:rPr>
          <w:rFonts w:ascii="Garamond" w:hAnsi="Garamond"/>
          <w:b/>
          <w:sz w:val="26"/>
          <w:szCs w:val="26"/>
          <w:lang w:val="en-US"/>
        </w:rPr>
        <w:t>8</w:t>
      </w:r>
      <w:r w:rsidRPr="00833C3E">
        <w:rPr>
          <w:rFonts w:ascii="Garamond" w:hAnsi="Garamond"/>
          <w:b/>
          <w:sz w:val="26"/>
          <w:szCs w:val="26"/>
          <w:lang w:val="en-US"/>
        </w:rPr>
        <w:t xml:space="preserve">. </w:t>
      </w:r>
      <w:r>
        <w:rPr>
          <w:rFonts w:ascii="Garamond" w:hAnsi="Garamond"/>
          <w:b/>
          <w:sz w:val="26"/>
          <w:szCs w:val="26"/>
          <w:lang w:val="en-US"/>
        </w:rPr>
        <w:t>Projected financial burden of the dividends</w:t>
      </w:r>
    </w:p>
    <w:p w:rsidR="006D578A" w:rsidRDefault="006D578A" w:rsidP="006D578A">
      <w:pPr>
        <w:spacing w:after="0"/>
        <w:rPr>
          <w:rFonts w:ascii="Garamond" w:hAnsi="Garamond"/>
          <w:sz w:val="26"/>
          <w:szCs w:val="26"/>
          <w:lang w:val="en-US"/>
        </w:rPr>
      </w:pPr>
    </w:p>
    <w:p w:rsidR="009C0279" w:rsidRDefault="009C0279" w:rsidP="006D578A">
      <w:pPr>
        <w:spacing w:after="0"/>
        <w:rPr>
          <w:rFonts w:ascii="Garamond" w:hAnsi="Garamond"/>
          <w:sz w:val="26"/>
          <w:szCs w:val="26"/>
          <w:lang w:val="en-US"/>
        </w:rPr>
      </w:pPr>
    </w:p>
    <w:p w:rsidR="009C0279" w:rsidRDefault="009C0279" w:rsidP="006D578A">
      <w:pPr>
        <w:spacing w:after="0"/>
        <w:rPr>
          <w:rFonts w:ascii="Garamond" w:hAnsi="Garamond"/>
          <w:sz w:val="26"/>
          <w:szCs w:val="26"/>
          <w:lang w:val="en-US"/>
        </w:rPr>
      </w:pPr>
    </w:p>
    <w:p w:rsidR="009C0279" w:rsidRDefault="009C0279" w:rsidP="006D578A">
      <w:pPr>
        <w:spacing w:after="0"/>
        <w:rPr>
          <w:rFonts w:ascii="Garamond" w:hAnsi="Garamond"/>
          <w:sz w:val="26"/>
          <w:szCs w:val="26"/>
          <w:lang w:val="en-US"/>
        </w:rPr>
      </w:pPr>
    </w:p>
    <w:p w:rsidR="009C0279" w:rsidRPr="006D578A" w:rsidRDefault="009C0279" w:rsidP="006D578A">
      <w:pPr>
        <w:spacing w:after="0"/>
        <w:rPr>
          <w:rFonts w:ascii="Garamond" w:hAnsi="Garamond"/>
          <w:sz w:val="26"/>
          <w:szCs w:val="26"/>
          <w:lang w:val="en-US"/>
        </w:rPr>
      </w:pPr>
    </w:p>
    <w:p w:rsidR="006D578A" w:rsidRPr="001350BC" w:rsidRDefault="006D578A" w:rsidP="006D578A">
      <w:pPr>
        <w:keepNext/>
        <w:keepLines/>
        <w:spacing w:before="40" w:after="0"/>
        <w:outlineLvl w:val="1"/>
        <w:rPr>
          <w:rFonts w:asciiTheme="majorHAnsi" w:eastAsiaTheme="majorEastAsia" w:hAnsiTheme="majorHAnsi" w:cstheme="majorBidi"/>
          <w:b/>
          <w:color w:val="149346"/>
          <w:sz w:val="26"/>
          <w:szCs w:val="26"/>
          <w:lang w:val="en-US"/>
        </w:rPr>
      </w:pPr>
      <w:bookmarkStart w:id="26" w:name="_Toc403474341"/>
      <w:r>
        <w:rPr>
          <w:rFonts w:asciiTheme="majorHAnsi" w:eastAsiaTheme="majorEastAsia" w:hAnsiTheme="majorHAnsi" w:cstheme="majorBidi"/>
          <w:b/>
          <w:color w:val="149346"/>
          <w:sz w:val="26"/>
          <w:szCs w:val="26"/>
          <w:lang w:val="en-US"/>
        </w:rPr>
        <w:t>B</w:t>
      </w:r>
      <w:r w:rsidRPr="001350BC">
        <w:rPr>
          <w:rFonts w:asciiTheme="majorHAnsi" w:eastAsiaTheme="majorEastAsia" w:hAnsiTheme="majorHAnsi" w:cstheme="majorBidi"/>
          <w:b/>
          <w:color w:val="149346"/>
          <w:sz w:val="26"/>
          <w:szCs w:val="26"/>
          <w:lang w:val="en-US"/>
        </w:rPr>
        <w:t xml:space="preserve"> – </w:t>
      </w:r>
      <w:r>
        <w:rPr>
          <w:rFonts w:asciiTheme="majorHAnsi" w:eastAsiaTheme="majorEastAsia" w:hAnsiTheme="majorHAnsi" w:cstheme="majorBidi"/>
          <w:b/>
          <w:color w:val="149346"/>
          <w:sz w:val="26"/>
          <w:szCs w:val="26"/>
          <w:lang w:val="en-US"/>
        </w:rPr>
        <w:t>Risks and mitigating factors</w:t>
      </w:r>
      <w:bookmarkEnd w:id="26"/>
    </w:p>
    <w:p w:rsidR="006D578A" w:rsidRDefault="006D578A" w:rsidP="006D578A">
      <w:pPr>
        <w:spacing w:after="0"/>
        <w:rPr>
          <w:rFonts w:ascii="Garamond" w:hAnsi="Garamond"/>
          <w:sz w:val="26"/>
          <w:szCs w:val="26"/>
          <w:lang w:val="en-US"/>
        </w:rPr>
      </w:pPr>
    </w:p>
    <w:tbl>
      <w:tblPr>
        <w:tblStyle w:val="ListTable3Accent1"/>
        <w:tblW w:w="9360" w:type="dxa"/>
        <w:tblLook w:val="04A0" w:firstRow="1" w:lastRow="0" w:firstColumn="1" w:lastColumn="0" w:noHBand="0" w:noVBand="1"/>
      </w:tblPr>
      <w:tblGrid>
        <w:gridCol w:w="2016"/>
        <w:gridCol w:w="1728"/>
        <w:gridCol w:w="5616"/>
      </w:tblGrid>
      <w:tr w:rsidR="005B3082" w:rsidTr="00C526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6" w:type="dxa"/>
          </w:tcPr>
          <w:p w:rsidR="005B3082" w:rsidRPr="005B3082" w:rsidRDefault="005B3082" w:rsidP="005B3082">
            <w:pPr>
              <w:jc w:val="center"/>
              <w:rPr>
                <w:rFonts w:ascii="Garamond" w:hAnsi="Garamond"/>
                <w:sz w:val="24"/>
                <w:szCs w:val="24"/>
                <w:lang w:val="en-US"/>
              </w:rPr>
            </w:pPr>
            <w:r w:rsidRPr="005B3082">
              <w:rPr>
                <w:rFonts w:ascii="Garamond" w:hAnsi="Garamond"/>
                <w:sz w:val="24"/>
                <w:szCs w:val="24"/>
                <w:lang w:val="en-US"/>
              </w:rPr>
              <w:t>Area</w:t>
            </w:r>
          </w:p>
        </w:tc>
        <w:tc>
          <w:tcPr>
            <w:tcW w:w="1728" w:type="dxa"/>
          </w:tcPr>
          <w:p w:rsidR="005B3082" w:rsidRPr="005B3082" w:rsidRDefault="005B3082" w:rsidP="005B3082">
            <w:pPr>
              <w:jc w:val="center"/>
              <w:cnfStyle w:val="100000000000" w:firstRow="1" w:lastRow="0" w:firstColumn="0" w:lastColumn="0" w:oddVBand="0" w:evenVBand="0" w:oddHBand="0" w:evenHBand="0" w:firstRowFirstColumn="0" w:firstRowLastColumn="0" w:lastRowFirstColumn="0" w:lastRowLastColumn="0"/>
              <w:rPr>
                <w:rFonts w:ascii="Garamond" w:hAnsi="Garamond"/>
                <w:sz w:val="24"/>
                <w:szCs w:val="24"/>
                <w:lang w:val="en-US"/>
              </w:rPr>
            </w:pPr>
            <w:r w:rsidRPr="005B3082">
              <w:rPr>
                <w:rFonts w:ascii="Garamond" w:hAnsi="Garamond"/>
                <w:sz w:val="24"/>
                <w:szCs w:val="24"/>
                <w:lang w:val="en-US"/>
              </w:rPr>
              <w:t>Risk of failure</w:t>
            </w:r>
          </w:p>
        </w:tc>
        <w:tc>
          <w:tcPr>
            <w:tcW w:w="5616" w:type="dxa"/>
          </w:tcPr>
          <w:p w:rsidR="005B3082" w:rsidRPr="005B3082" w:rsidRDefault="005B3082" w:rsidP="006D578A">
            <w:pPr>
              <w:cnfStyle w:val="100000000000" w:firstRow="1" w:lastRow="0" w:firstColumn="0" w:lastColumn="0" w:oddVBand="0" w:evenVBand="0" w:oddHBand="0" w:evenHBand="0" w:firstRowFirstColumn="0" w:firstRowLastColumn="0" w:lastRowFirstColumn="0" w:lastRowLastColumn="0"/>
              <w:rPr>
                <w:rFonts w:ascii="Garamond" w:hAnsi="Garamond"/>
                <w:sz w:val="24"/>
                <w:szCs w:val="24"/>
                <w:lang w:val="en-US"/>
              </w:rPr>
            </w:pPr>
            <w:r w:rsidRPr="005B3082">
              <w:rPr>
                <w:rFonts w:ascii="Garamond" w:hAnsi="Garamond"/>
                <w:sz w:val="24"/>
                <w:szCs w:val="24"/>
                <w:lang w:val="en-US"/>
              </w:rPr>
              <w:t>Comment</w:t>
            </w:r>
          </w:p>
        </w:tc>
      </w:tr>
      <w:tr w:rsidR="005B3082" w:rsidTr="00774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vAlign w:val="center"/>
          </w:tcPr>
          <w:p w:rsidR="005B3082" w:rsidRPr="005B3082" w:rsidRDefault="005B3082" w:rsidP="00774959">
            <w:pPr>
              <w:pStyle w:val="NormalWeb"/>
              <w:spacing w:before="0" w:beforeAutospacing="0" w:after="0" w:afterAutospacing="0"/>
              <w:jc w:val="center"/>
              <w:rPr>
                <w:rFonts w:ascii="Garamond" w:hAnsi="Garamond" w:cs="Arial"/>
                <w:b w:val="0"/>
              </w:rPr>
            </w:pPr>
            <w:r w:rsidRPr="005B3082">
              <w:rPr>
                <w:rFonts w:ascii="Garamond" w:hAnsi="Garamond" w:cs="Arial"/>
                <w:b w:val="0"/>
                <w:color w:val="000000" w:themeColor="dark1"/>
                <w:kern w:val="24"/>
              </w:rPr>
              <w:t>Competition</w:t>
            </w:r>
          </w:p>
        </w:tc>
        <w:tc>
          <w:tcPr>
            <w:tcW w:w="1728" w:type="dxa"/>
            <w:vAlign w:val="center"/>
          </w:tcPr>
          <w:p w:rsidR="005B3082" w:rsidRPr="005B3082" w:rsidRDefault="005B3082" w:rsidP="007749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Garamond" w:hAnsi="Garamond" w:cs="Arial"/>
              </w:rPr>
            </w:pPr>
            <w:r w:rsidRPr="005B3082">
              <w:rPr>
                <w:rFonts w:ascii="Garamond" w:hAnsi="Garamond" w:cs="Arial"/>
                <w:color w:val="0070C0"/>
                <w:kern w:val="24"/>
              </w:rPr>
              <w:t>Very Low</w:t>
            </w:r>
          </w:p>
        </w:tc>
        <w:tc>
          <w:tcPr>
            <w:tcW w:w="5616" w:type="dxa"/>
            <w:vAlign w:val="center"/>
          </w:tcPr>
          <w:p w:rsidR="005B3082" w:rsidRDefault="005B3082" w:rsidP="00774959">
            <w:pPr>
              <w:cnfStyle w:val="000000100000" w:firstRow="0" w:lastRow="0" w:firstColumn="0" w:lastColumn="0" w:oddVBand="0" w:evenVBand="0" w:oddHBand="1" w:evenHBand="0" w:firstRowFirstColumn="0" w:firstRowLastColumn="0" w:lastRowFirstColumn="0" w:lastRowLastColumn="0"/>
              <w:rPr>
                <w:rFonts w:ascii="Garamond" w:hAnsi="Garamond"/>
                <w:sz w:val="24"/>
                <w:szCs w:val="24"/>
                <w:lang w:val="en-US"/>
              </w:rPr>
            </w:pPr>
            <w:r>
              <w:rPr>
                <w:rFonts w:ascii="Garamond" w:hAnsi="Garamond"/>
                <w:sz w:val="24"/>
                <w:szCs w:val="24"/>
                <w:lang w:val="en-US"/>
              </w:rPr>
              <w:t>IP approaches are novel in both areas</w:t>
            </w:r>
          </w:p>
          <w:p w:rsidR="005B3082" w:rsidRPr="005B3082" w:rsidRDefault="005B3082" w:rsidP="00774959">
            <w:pPr>
              <w:cnfStyle w:val="000000100000" w:firstRow="0" w:lastRow="0" w:firstColumn="0" w:lastColumn="0" w:oddVBand="0" w:evenVBand="0" w:oddHBand="1" w:evenHBand="0" w:firstRowFirstColumn="0" w:firstRowLastColumn="0" w:lastRowFirstColumn="0" w:lastRowLastColumn="0"/>
              <w:rPr>
                <w:rFonts w:ascii="Garamond" w:hAnsi="Garamond"/>
                <w:sz w:val="24"/>
                <w:szCs w:val="24"/>
                <w:lang w:val="en-US"/>
              </w:rPr>
            </w:pPr>
            <w:r>
              <w:rPr>
                <w:rFonts w:ascii="Garamond" w:hAnsi="Garamond"/>
                <w:sz w:val="24"/>
                <w:szCs w:val="24"/>
                <w:lang w:val="en-US"/>
              </w:rPr>
              <w:t>Cooperative strategy for expansion</w:t>
            </w:r>
          </w:p>
        </w:tc>
      </w:tr>
      <w:tr w:rsidR="005B3082" w:rsidRPr="00532CEA" w:rsidTr="00774959">
        <w:tc>
          <w:tcPr>
            <w:cnfStyle w:val="001000000000" w:firstRow="0" w:lastRow="0" w:firstColumn="1" w:lastColumn="0" w:oddVBand="0" w:evenVBand="0" w:oddHBand="0" w:evenHBand="0" w:firstRowFirstColumn="0" w:firstRowLastColumn="0" w:lastRowFirstColumn="0" w:lastRowLastColumn="0"/>
            <w:tcW w:w="2016" w:type="dxa"/>
            <w:vAlign w:val="center"/>
          </w:tcPr>
          <w:p w:rsidR="005B3082" w:rsidRPr="005B3082" w:rsidRDefault="005B3082" w:rsidP="00774959">
            <w:pPr>
              <w:pStyle w:val="NormalWeb"/>
              <w:spacing w:before="0" w:beforeAutospacing="0" w:after="0" w:afterAutospacing="0"/>
              <w:jc w:val="center"/>
              <w:rPr>
                <w:rFonts w:ascii="Garamond" w:hAnsi="Garamond" w:cs="Arial"/>
                <w:b w:val="0"/>
              </w:rPr>
            </w:pPr>
            <w:r w:rsidRPr="005B3082">
              <w:rPr>
                <w:rFonts w:ascii="Garamond" w:hAnsi="Garamond" w:cs="Arial"/>
                <w:b w:val="0"/>
                <w:color w:val="000000" w:themeColor="dark1"/>
                <w:kern w:val="24"/>
              </w:rPr>
              <w:t>Regulatory</w:t>
            </w:r>
          </w:p>
        </w:tc>
        <w:tc>
          <w:tcPr>
            <w:tcW w:w="1728" w:type="dxa"/>
            <w:vAlign w:val="center"/>
          </w:tcPr>
          <w:p w:rsidR="005B3082" w:rsidRPr="005B3082" w:rsidRDefault="005B3082" w:rsidP="0077495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05B3082">
              <w:rPr>
                <w:rFonts w:ascii="Garamond" w:hAnsi="Garamond" w:cs="Arial"/>
                <w:color w:val="0070C0"/>
                <w:kern w:val="24"/>
              </w:rPr>
              <w:t>Very Low</w:t>
            </w:r>
          </w:p>
        </w:tc>
        <w:tc>
          <w:tcPr>
            <w:tcW w:w="5616" w:type="dxa"/>
            <w:vAlign w:val="center"/>
          </w:tcPr>
          <w:p w:rsidR="005B3082" w:rsidRPr="005B3082" w:rsidRDefault="00C5268E" w:rsidP="00774959">
            <w:pPr>
              <w:cnfStyle w:val="000000000000" w:firstRow="0" w:lastRow="0" w:firstColumn="0" w:lastColumn="0" w:oddVBand="0" w:evenVBand="0" w:oddHBand="0" w:evenHBand="0" w:firstRowFirstColumn="0" w:firstRowLastColumn="0" w:lastRowFirstColumn="0" w:lastRowLastColumn="0"/>
              <w:rPr>
                <w:rFonts w:ascii="Garamond" w:hAnsi="Garamond"/>
                <w:sz w:val="24"/>
                <w:szCs w:val="24"/>
                <w:lang w:val="en-US"/>
              </w:rPr>
            </w:pPr>
            <w:r>
              <w:rPr>
                <w:rFonts w:ascii="Garamond" w:hAnsi="Garamond"/>
                <w:sz w:val="24"/>
                <w:szCs w:val="24"/>
                <w:lang w:val="en-US"/>
              </w:rPr>
              <w:t>Thanks to PIARCS’ sustainability focus; effort to lead and broadly enable environmental regulation compliance</w:t>
            </w:r>
          </w:p>
        </w:tc>
      </w:tr>
      <w:tr w:rsidR="005B3082" w:rsidRPr="00532CEA" w:rsidTr="00774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vAlign w:val="center"/>
          </w:tcPr>
          <w:p w:rsidR="005B3082" w:rsidRPr="005B3082" w:rsidRDefault="005B3082" w:rsidP="00774959">
            <w:pPr>
              <w:pStyle w:val="NormalWeb"/>
              <w:spacing w:before="0" w:beforeAutospacing="0" w:after="0" w:afterAutospacing="0"/>
              <w:jc w:val="center"/>
              <w:rPr>
                <w:rFonts w:ascii="Garamond" w:hAnsi="Garamond" w:cs="Arial"/>
                <w:b w:val="0"/>
              </w:rPr>
            </w:pPr>
            <w:r w:rsidRPr="005B3082">
              <w:rPr>
                <w:rFonts w:ascii="Garamond" w:hAnsi="Garamond" w:cs="Arial"/>
                <w:b w:val="0"/>
                <w:color w:val="000000" w:themeColor="dark1"/>
                <w:kern w:val="24"/>
              </w:rPr>
              <w:t>Operations (Phosphorus)</w:t>
            </w:r>
          </w:p>
        </w:tc>
        <w:tc>
          <w:tcPr>
            <w:tcW w:w="1728" w:type="dxa"/>
            <w:vAlign w:val="center"/>
          </w:tcPr>
          <w:p w:rsidR="005B3082" w:rsidRPr="005B3082" w:rsidRDefault="005B3082" w:rsidP="007749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Garamond" w:hAnsi="Garamond" w:cs="Arial"/>
              </w:rPr>
            </w:pPr>
            <w:r w:rsidRPr="005B3082">
              <w:rPr>
                <w:rFonts w:ascii="Garamond" w:hAnsi="Garamond" w:cs="Arial"/>
                <w:color w:val="0070C0"/>
                <w:kern w:val="24"/>
              </w:rPr>
              <w:t>Very</w:t>
            </w:r>
            <w:r w:rsidRPr="005B3082">
              <w:rPr>
                <w:rFonts w:ascii="Garamond" w:hAnsi="Garamond" w:cs="Arial"/>
                <w:color w:val="0070C0"/>
                <w:kern w:val="24"/>
                <w:position w:val="1"/>
              </w:rPr>
              <w:t xml:space="preserve"> Low</w:t>
            </w:r>
          </w:p>
        </w:tc>
        <w:tc>
          <w:tcPr>
            <w:tcW w:w="5616" w:type="dxa"/>
            <w:vAlign w:val="center"/>
          </w:tcPr>
          <w:p w:rsidR="005B3082" w:rsidRPr="005B3082" w:rsidRDefault="00774959" w:rsidP="00774959">
            <w:pPr>
              <w:cnfStyle w:val="000000100000" w:firstRow="0" w:lastRow="0" w:firstColumn="0" w:lastColumn="0" w:oddVBand="0" w:evenVBand="0" w:oddHBand="1" w:evenHBand="0" w:firstRowFirstColumn="0" w:firstRowLastColumn="0" w:lastRowFirstColumn="0" w:lastRowLastColumn="0"/>
              <w:rPr>
                <w:rFonts w:ascii="Garamond" w:hAnsi="Garamond"/>
                <w:sz w:val="24"/>
                <w:szCs w:val="24"/>
                <w:lang w:val="en-US"/>
              </w:rPr>
            </w:pPr>
            <w:r>
              <w:rPr>
                <w:rFonts w:ascii="Garamond" w:hAnsi="Garamond"/>
                <w:sz w:val="24"/>
                <w:szCs w:val="24"/>
                <w:lang w:val="en-US"/>
              </w:rPr>
              <w:t>Founder’s experience in bacterial physiology</w:t>
            </w:r>
          </w:p>
        </w:tc>
      </w:tr>
      <w:tr w:rsidR="005B3082" w:rsidRPr="00532CEA" w:rsidTr="00774959">
        <w:tc>
          <w:tcPr>
            <w:cnfStyle w:val="001000000000" w:firstRow="0" w:lastRow="0" w:firstColumn="1" w:lastColumn="0" w:oddVBand="0" w:evenVBand="0" w:oddHBand="0" w:evenHBand="0" w:firstRowFirstColumn="0" w:firstRowLastColumn="0" w:lastRowFirstColumn="0" w:lastRowLastColumn="0"/>
            <w:tcW w:w="2016" w:type="dxa"/>
            <w:vAlign w:val="center"/>
          </w:tcPr>
          <w:p w:rsidR="005B3082" w:rsidRPr="005B3082" w:rsidRDefault="005B3082" w:rsidP="00774959">
            <w:pPr>
              <w:pStyle w:val="NormalWeb"/>
              <w:spacing w:before="0" w:beforeAutospacing="0" w:after="0" w:afterAutospacing="0"/>
              <w:jc w:val="center"/>
              <w:rPr>
                <w:rFonts w:ascii="Garamond" w:hAnsi="Garamond" w:cs="Arial"/>
                <w:b w:val="0"/>
              </w:rPr>
            </w:pPr>
            <w:r w:rsidRPr="005B3082">
              <w:rPr>
                <w:rFonts w:ascii="Garamond" w:hAnsi="Garamond" w:cs="Arial"/>
                <w:b w:val="0"/>
                <w:color w:val="000000" w:themeColor="dark1"/>
                <w:kern w:val="24"/>
              </w:rPr>
              <w:t>Operations</w:t>
            </w:r>
            <w:r w:rsidRPr="005B3082">
              <w:rPr>
                <w:rFonts w:ascii="Garamond" w:hAnsi="Garamond" w:cs="Arial"/>
                <w:b w:val="0"/>
                <w:color w:val="000000" w:themeColor="dark1"/>
                <w:kern w:val="24"/>
                <w:position w:val="1"/>
              </w:rPr>
              <w:t xml:space="preserve"> (Algae)</w:t>
            </w:r>
          </w:p>
        </w:tc>
        <w:tc>
          <w:tcPr>
            <w:tcW w:w="1728" w:type="dxa"/>
            <w:vAlign w:val="center"/>
          </w:tcPr>
          <w:p w:rsidR="005B3082" w:rsidRPr="005B3082" w:rsidRDefault="005B3082" w:rsidP="0077495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05B3082">
              <w:rPr>
                <w:rFonts w:ascii="Garamond" w:hAnsi="Garamond" w:cs="Arial"/>
                <w:color w:val="8BBF41"/>
                <w:kern w:val="24"/>
              </w:rPr>
              <w:t>Medium</w:t>
            </w:r>
          </w:p>
        </w:tc>
        <w:tc>
          <w:tcPr>
            <w:tcW w:w="5616" w:type="dxa"/>
            <w:vAlign w:val="center"/>
          </w:tcPr>
          <w:p w:rsidR="005B3082" w:rsidRPr="005B3082" w:rsidRDefault="00774959" w:rsidP="00774959">
            <w:pPr>
              <w:cnfStyle w:val="000000000000" w:firstRow="0" w:lastRow="0" w:firstColumn="0" w:lastColumn="0" w:oddVBand="0" w:evenVBand="0" w:oddHBand="0" w:evenHBand="0" w:firstRowFirstColumn="0" w:firstRowLastColumn="0" w:lastRowFirstColumn="0" w:lastRowLastColumn="0"/>
              <w:rPr>
                <w:rFonts w:ascii="Garamond" w:hAnsi="Garamond"/>
                <w:sz w:val="24"/>
                <w:szCs w:val="24"/>
                <w:lang w:val="en-US"/>
              </w:rPr>
            </w:pPr>
            <w:r>
              <w:rPr>
                <w:rFonts w:ascii="Garamond" w:hAnsi="Garamond"/>
                <w:sz w:val="24"/>
                <w:szCs w:val="24"/>
                <w:lang w:val="en-US"/>
              </w:rPr>
              <w:t>Founder has a well-established action plan which relies on contractors to carry-out specific aspects of the project</w:t>
            </w:r>
          </w:p>
        </w:tc>
      </w:tr>
      <w:tr w:rsidR="005B3082" w:rsidTr="00774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vAlign w:val="center"/>
          </w:tcPr>
          <w:p w:rsidR="005B3082" w:rsidRPr="005B3082" w:rsidRDefault="005B3082" w:rsidP="00774959">
            <w:pPr>
              <w:pStyle w:val="NormalWeb"/>
              <w:spacing w:before="0" w:beforeAutospacing="0" w:after="0" w:afterAutospacing="0"/>
              <w:jc w:val="center"/>
              <w:rPr>
                <w:rFonts w:ascii="Garamond" w:hAnsi="Garamond" w:cs="Arial"/>
                <w:b w:val="0"/>
              </w:rPr>
            </w:pPr>
            <w:r w:rsidRPr="005B3082">
              <w:rPr>
                <w:rFonts w:ascii="Garamond" w:hAnsi="Garamond" w:cs="Arial"/>
                <w:b w:val="0"/>
                <w:color w:val="000000" w:themeColor="dark1"/>
                <w:kern w:val="24"/>
              </w:rPr>
              <w:t>Technical (Phosphorous)</w:t>
            </w:r>
          </w:p>
        </w:tc>
        <w:tc>
          <w:tcPr>
            <w:tcW w:w="1728" w:type="dxa"/>
            <w:vAlign w:val="center"/>
          </w:tcPr>
          <w:p w:rsidR="005B3082" w:rsidRPr="005B3082" w:rsidRDefault="005B3082" w:rsidP="007749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Garamond" w:hAnsi="Garamond" w:cs="Arial"/>
              </w:rPr>
            </w:pPr>
            <w:r w:rsidRPr="005B3082">
              <w:rPr>
                <w:rFonts w:ascii="Garamond" w:hAnsi="Garamond" w:cs="Arial"/>
                <w:color w:val="8BBF41"/>
                <w:kern w:val="24"/>
              </w:rPr>
              <w:t>Medium</w:t>
            </w:r>
          </w:p>
        </w:tc>
        <w:tc>
          <w:tcPr>
            <w:tcW w:w="5616" w:type="dxa"/>
            <w:vAlign w:val="center"/>
          </w:tcPr>
          <w:p w:rsidR="005B3082" w:rsidRPr="005B3082" w:rsidRDefault="00774959" w:rsidP="00774959">
            <w:pPr>
              <w:cnfStyle w:val="000000100000" w:firstRow="0" w:lastRow="0" w:firstColumn="0" w:lastColumn="0" w:oddVBand="0" w:evenVBand="0" w:oddHBand="1" w:evenHBand="0" w:firstRowFirstColumn="0" w:firstRowLastColumn="0" w:lastRowFirstColumn="0" w:lastRowLastColumn="0"/>
              <w:rPr>
                <w:rFonts w:ascii="Garamond" w:hAnsi="Garamond"/>
                <w:sz w:val="24"/>
                <w:szCs w:val="24"/>
                <w:lang w:val="en-US"/>
              </w:rPr>
            </w:pPr>
            <w:r>
              <w:rPr>
                <w:rFonts w:ascii="Garamond" w:hAnsi="Garamond"/>
                <w:sz w:val="24"/>
                <w:szCs w:val="24"/>
                <w:lang w:val="en-US"/>
              </w:rPr>
              <w:t>Inherent behavior of system</w:t>
            </w:r>
            <w:r w:rsidRPr="00774959">
              <w:rPr>
                <w:rFonts w:ascii="Garamond" w:hAnsi="Garamond"/>
                <w:sz w:val="28"/>
                <w:szCs w:val="28"/>
                <w:lang w:val="en-US"/>
              </w:rPr>
              <w:t>ª</w:t>
            </w:r>
          </w:p>
        </w:tc>
      </w:tr>
      <w:tr w:rsidR="005B3082" w:rsidTr="00774959">
        <w:tc>
          <w:tcPr>
            <w:cnfStyle w:val="001000000000" w:firstRow="0" w:lastRow="0" w:firstColumn="1" w:lastColumn="0" w:oddVBand="0" w:evenVBand="0" w:oddHBand="0" w:evenHBand="0" w:firstRowFirstColumn="0" w:firstRowLastColumn="0" w:lastRowFirstColumn="0" w:lastRowLastColumn="0"/>
            <w:tcW w:w="2016" w:type="dxa"/>
            <w:vAlign w:val="center"/>
          </w:tcPr>
          <w:p w:rsidR="005B3082" w:rsidRPr="005B3082" w:rsidRDefault="005B3082" w:rsidP="00774959">
            <w:pPr>
              <w:pStyle w:val="NormalWeb"/>
              <w:spacing w:before="0" w:beforeAutospacing="0" w:after="0" w:afterAutospacing="0"/>
              <w:jc w:val="center"/>
              <w:rPr>
                <w:rFonts w:ascii="Garamond" w:hAnsi="Garamond" w:cs="Arial"/>
                <w:b w:val="0"/>
              </w:rPr>
            </w:pPr>
            <w:r w:rsidRPr="005B3082">
              <w:rPr>
                <w:rFonts w:ascii="Garamond" w:hAnsi="Garamond" w:cs="Arial"/>
                <w:b w:val="0"/>
                <w:color w:val="000000" w:themeColor="dark1"/>
                <w:kern w:val="24"/>
              </w:rPr>
              <w:t>Technical (Algae)</w:t>
            </w:r>
          </w:p>
        </w:tc>
        <w:tc>
          <w:tcPr>
            <w:tcW w:w="1728" w:type="dxa"/>
            <w:vAlign w:val="center"/>
          </w:tcPr>
          <w:p w:rsidR="005B3082" w:rsidRPr="005B3082" w:rsidRDefault="005B3082" w:rsidP="0077495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05B3082">
              <w:rPr>
                <w:rFonts w:ascii="Garamond" w:hAnsi="Garamond" w:cs="Arial"/>
                <w:color w:val="FF0000"/>
                <w:kern w:val="24"/>
              </w:rPr>
              <w:t>High</w:t>
            </w:r>
          </w:p>
        </w:tc>
        <w:tc>
          <w:tcPr>
            <w:tcW w:w="5616" w:type="dxa"/>
            <w:vAlign w:val="center"/>
          </w:tcPr>
          <w:p w:rsidR="005B3082" w:rsidRPr="005B3082" w:rsidRDefault="00774959" w:rsidP="00774959">
            <w:pPr>
              <w:cnfStyle w:val="000000000000" w:firstRow="0" w:lastRow="0" w:firstColumn="0" w:lastColumn="0" w:oddVBand="0" w:evenVBand="0" w:oddHBand="0" w:evenHBand="0" w:firstRowFirstColumn="0" w:firstRowLastColumn="0" w:lastRowFirstColumn="0" w:lastRowLastColumn="0"/>
              <w:rPr>
                <w:rFonts w:ascii="Garamond" w:hAnsi="Garamond"/>
                <w:sz w:val="24"/>
                <w:szCs w:val="24"/>
                <w:lang w:val="en-US"/>
              </w:rPr>
            </w:pPr>
            <w:r w:rsidRPr="00774959">
              <w:rPr>
                <w:rFonts w:ascii="Garamond" w:hAnsi="Garamond"/>
                <w:sz w:val="24"/>
                <w:szCs w:val="24"/>
                <w:lang w:val="en-US"/>
              </w:rPr>
              <w:t>Inherent behavior of system</w:t>
            </w:r>
            <w:r w:rsidRPr="00774959">
              <w:rPr>
                <w:rFonts w:ascii="Garamond" w:hAnsi="Garamond"/>
                <w:sz w:val="28"/>
                <w:szCs w:val="28"/>
                <w:lang w:val="en-US"/>
              </w:rPr>
              <w:t>ª</w:t>
            </w:r>
          </w:p>
        </w:tc>
      </w:tr>
      <w:tr w:rsidR="005B3082" w:rsidRPr="00532CEA" w:rsidTr="00774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vAlign w:val="center"/>
          </w:tcPr>
          <w:p w:rsidR="005B3082" w:rsidRPr="005B3082" w:rsidRDefault="005B3082" w:rsidP="00774959">
            <w:pPr>
              <w:pStyle w:val="NormalWeb"/>
              <w:spacing w:before="0" w:beforeAutospacing="0" w:after="0" w:afterAutospacing="0"/>
              <w:jc w:val="center"/>
              <w:rPr>
                <w:rFonts w:ascii="Garamond" w:hAnsi="Garamond" w:cs="Arial"/>
                <w:b w:val="0"/>
              </w:rPr>
            </w:pPr>
            <w:r w:rsidRPr="005B3082">
              <w:rPr>
                <w:rFonts w:ascii="Garamond" w:hAnsi="Garamond" w:cs="Arial"/>
                <w:b w:val="0"/>
                <w:color w:val="000000" w:themeColor="dark1"/>
                <w:kern w:val="24"/>
              </w:rPr>
              <w:t>Funding needs</w:t>
            </w:r>
          </w:p>
        </w:tc>
        <w:tc>
          <w:tcPr>
            <w:tcW w:w="1728" w:type="dxa"/>
            <w:vAlign w:val="center"/>
          </w:tcPr>
          <w:p w:rsidR="005B3082" w:rsidRPr="005B3082" w:rsidRDefault="005B3082" w:rsidP="007749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Garamond" w:hAnsi="Garamond" w:cs="Arial"/>
              </w:rPr>
            </w:pPr>
            <w:r w:rsidRPr="005B3082">
              <w:rPr>
                <w:rFonts w:ascii="Garamond" w:hAnsi="Garamond" w:cs="Arial"/>
                <w:color w:val="8BBF41"/>
                <w:kern w:val="24"/>
              </w:rPr>
              <w:t>Medium</w:t>
            </w:r>
          </w:p>
        </w:tc>
        <w:tc>
          <w:tcPr>
            <w:tcW w:w="5616" w:type="dxa"/>
            <w:vAlign w:val="center"/>
          </w:tcPr>
          <w:p w:rsidR="005B3082" w:rsidRPr="005B3082" w:rsidRDefault="00774959" w:rsidP="00774959">
            <w:pPr>
              <w:cnfStyle w:val="000000100000" w:firstRow="0" w:lastRow="0" w:firstColumn="0" w:lastColumn="0" w:oddVBand="0" w:evenVBand="0" w:oddHBand="1" w:evenHBand="0" w:firstRowFirstColumn="0" w:firstRowLastColumn="0" w:lastRowFirstColumn="0" w:lastRowLastColumn="0"/>
              <w:rPr>
                <w:rFonts w:ascii="Garamond" w:hAnsi="Garamond"/>
                <w:sz w:val="24"/>
                <w:szCs w:val="24"/>
                <w:lang w:val="en-US"/>
              </w:rPr>
            </w:pPr>
            <w:r w:rsidRPr="00774959">
              <w:rPr>
                <w:rFonts w:ascii="Garamond" w:hAnsi="Garamond"/>
                <w:sz w:val="24"/>
                <w:szCs w:val="24"/>
                <w:lang w:val="en-US"/>
              </w:rPr>
              <w:t>Intermediate funding needs to validate two key scientific breakthroughs</w:t>
            </w:r>
          </w:p>
        </w:tc>
      </w:tr>
      <w:tr w:rsidR="005B3082" w:rsidRPr="00532CEA" w:rsidTr="00774959">
        <w:tc>
          <w:tcPr>
            <w:cnfStyle w:val="001000000000" w:firstRow="0" w:lastRow="0" w:firstColumn="1" w:lastColumn="0" w:oddVBand="0" w:evenVBand="0" w:oddHBand="0" w:evenHBand="0" w:firstRowFirstColumn="0" w:firstRowLastColumn="0" w:lastRowFirstColumn="0" w:lastRowLastColumn="0"/>
            <w:tcW w:w="2016" w:type="dxa"/>
            <w:vAlign w:val="center"/>
          </w:tcPr>
          <w:p w:rsidR="005B3082" w:rsidRPr="005B3082" w:rsidRDefault="005B3082" w:rsidP="00774959">
            <w:pPr>
              <w:pStyle w:val="NormalWeb"/>
              <w:spacing w:before="0" w:beforeAutospacing="0" w:after="0" w:afterAutospacing="0"/>
              <w:jc w:val="center"/>
              <w:rPr>
                <w:rFonts w:ascii="Garamond" w:hAnsi="Garamond" w:cs="Arial"/>
                <w:b w:val="0"/>
              </w:rPr>
            </w:pPr>
            <w:r w:rsidRPr="005B3082">
              <w:rPr>
                <w:rFonts w:ascii="Garamond" w:hAnsi="Garamond" w:cs="Arial"/>
                <w:b w:val="0"/>
                <w:color w:val="000000" w:themeColor="dark1"/>
                <w:kern w:val="24"/>
              </w:rPr>
              <w:t>IP</w:t>
            </w:r>
            <w:r w:rsidRPr="005B3082">
              <w:rPr>
                <w:rFonts w:ascii="Garamond" w:hAnsi="Garamond" w:cs="Arial"/>
                <w:b w:val="0"/>
                <w:color w:val="000000" w:themeColor="dark1"/>
                <w:kern w:val="24"/>
                <w:position w:val="1"/>
              </w:rPr>
              <w:t xml:space="preserve"> time constraints</w:t>
            </w:r>
          </w:p>
        </w:tc>
        <w:tc>
          <w:tcPr>
            <w:tcW w:w="1728" w:type="dxa"/>
            <w:vAlign w:val="center"/>
          </w:tcPr>
          <w:p w:rsidR="005B3082" w:rsidRPr="005B3082" w:rsidRDefault="005B3082" w:rsidP="0077495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05B3082">
              <w:rPr>
                <w:rFonts w:ascii="Garamond" w:hAnsi="Garamond" w:cs="Arial"/>
                <w:color w:val="FF0000"/>
                <w:kern w:val="24"/>
              </w:rPr>
              <w:t>High</w:t>
            </w:r>
          </w:p>
        </w:tc>
        <w:tc>
          <w:tcPr>
            <w:tcW w:w="5616" w:type="dxa"/>
            <w:vAlign w:val="center"/>
          </w:tcPr>
          <w:p w:rsidR="005B3082" w:rsidRPr="005B3082" w:rsidRDefault="00774959" w:rsidP="00774959">
            <w:pPr>
              <w:cnfStyle w:val="000000000000" w:firstRow="0" w:lastRow="0" w:firstColumn="0" w:lastColumn="0" w:oddVBand="0" w:evenVBand="0" w:oddHBand="0" w:evenHBand="0" w:firstRowFirstColumn="0" w:firstRowLastColumn="0" w:lastRowFirstColumn="0" w:lastRowLastColumn="0"/>
              <w:rPr>
                <w:rFonts w:ascii="Garamond" w:hAnsi="Garamond"/>
                <w:sz w:val="24"/>
                <w:szCs w:val="24"/>
                <w:lang w:val="en-US"/>
              </w:rPr>
            </w:pPr>
            <w:r>
              <w:rPr>
                <w:rFonts w:ascii="Garamond" w:hAnsi="Garamond"/>
                <w:sz w:val="24"/>
                <w:szCs w:val="24"/>
                <w:lang w:val="en-US"/>
              </w:rPr>
              <w:t>Constraint to raise investments to obtain indoor prototype validations in-time for filing patents</w:t>
            </w:r>
          </w:p>
        </w:tc>
      </w:tr>
    </w:tbl>
    <w:p w:rsidR="005B3082" w:rsidRDefault="00774959" w:rsidP="006D578A">
      <w:pPr>
        <w:spacing w:after="0"/>
        <w:rPr>
          <w:rFonts w:ascii="Garamond" w:hAnsi="Garamond"/>
          <w:sz w:val="26"/>
          <w:szCs w:val="26"/>
          <w:lang w:val="en-US"/>
        </w:rPr>
      </w:pPr>
      <w:r w:rsidRPr="00774959">
        <w:rPr>
          <w:rFonts w:ascii="Garamond" w:hAnsi="Garamond"/>
          <w:b/>
          <w:sz w:val="26"/>
          <w:szCs w:val="26"/>
          <w:lang w:val="en-US"/>
        </w:rPr>
        <w:t>Table 5. Risks and Mitigating factors</w:t>
      </w:r>
      <w:r>
        <w:rPr>
          <w:rFonts w:ascii="Garamond" w:hAnsi="Garamond"/>
          <w:b/>
          <w:sz w:val="26"/>
          <w:szCs w:val="26"/>
          <w:lang w:val="en-US"/>
        </w:rPr>
        <w:t xml:space="preserve">. </w:t>
      </w:r>
      <w:r w:rsidRPr="00774959">
        <w:rPr>
          <w:rFonts w:ascii="Garamond" w:hAnsi="Garamond"/>
          <w:sz w:val="28"/>
          <w:szCs w:val="28"/>
          <w:lang w:val="en-US"/>
        </w:rPr>
        <w:t>ª</w:t>
      </w:r>
      <w:r>
        <w:rPr>
          <w:rFonts w:ascii="Garamond" w:hAnsi="Garamond"/>
          <w:sz w:val="26"/>
          <w:szCs w:val="26"/>
          <w:lang w:val="en-US"/>
        </w:rPr>
        <w:t>The risks associated with the inherent behavior of the system are discussed below (Section 3-C).</w:t>
      </w:r>
    </w:p>
    <w:p w:rsidR="009C0279" w:rsidRPr="00774959" w:rsidRDefault="009C0279" w:rsidP="006D578A">
      <w:pPr>
        <w:spacing w:after="0"/>
        <w:rPr>
          <w:rFonts w:ascii="Garamond" w:hAnsi="Garamond"/>
          <w:b/>
          <w:sz w:val="26"/>
          <w:szCs w:val="26"/>
          <w:lang w:val="en-US"/>
        </w:rPr>
      </w:pPr>
    </w:p>
    <w:p w:rsidR="006D578A" w:rsidRPr="006D578A" w:rsidRDefault="006D578A" w:rsidP="006D578A">
      <w:pPr>
        <w:spacing w:after="0"/>
        <w:rPr>
          <w:rFonts w:ascii="Garamond" w:hAnsi="Garamond"/>
          <w:sz w:val="26"/>
          <w:szCs w:val="26"/>
          <w:lang w:val="en-US"/>
        </w:rPr>
      </w:pPr>
    </w:p>
    <w:p w:rsidR="001350BC" w:rsidRPr="001350BC" w:rsidRDefault="006D578A" w:rsidP="001350BC">
      <w:pPr>
        <w:keepNext/>
        <w:keepLines/>
        <w:spacing w:before="40" w:after="0"/>
        <w:outlineLvl w:val="1"/>
        <w:rPr>
          <w:rFonts w:asciiTheme="majorHAnsi" w:eastAsiaTheme="majorEastAsia" w:hAnsiTheme="majorHAnsi" w:cstheme="majorBidi"/>
          <w:b/>
          <w:color w:val="149346"/>
          <w:sz w:val="26"/>
          <w:szCs w:val="26"/>
          <w:lang w:val="en-US"/>
        </w:rPr>
      </w:pPr>
      <w:bookmarkStart w:id="27" w:name="_Toc403474342"/>
      <w:r>
        <w:rPr>
          <w:rFonts w:asciiTheme="majorHAnsi" w:eastAsiaTheme="majorEastAsia" w:hAnsiTheme="majorHAnsi" w:cstheme="majorBidi"/>
          <w:b/>
          <w:color w:val="149346"/>
          <w:sz w:val="26"/>
          <w:szCs w:val="26"/>
          <w:lang w:val="en-US"/>
        </w:rPr>
        <w:t>C</w:t>
      </w:r>
      <w:r w:rsidR="001350BC" w:rsidRPr="001350BC">
        <w:rPr>
          <w:rFonts w:asciiTheme="majorHAnsi" w:eastAsiaTheme="majorEastAsia" w:hAnsiTheme="majorHAnsi" w:cstheme="majorBidi"/>
          <w:b/>
          <w:color w:val="149346"/>
          <w:sz w:val="26"/>
          <w:szCs w:val="26"/>
          <w:lang w:val="en-US"/>
        </w:rPr>
        <w:t xml:space="preserve"> – </w:t>
      </w:r>
      <w:r w:rsidR="001350BC">
        <w:rPr>
          <w:rFonts w:asciiTheme="majorHAnsi" w:eastAsiaTheme="majorEastAsia" w:hAnsiTheme="majorHAnsi" w:cstheme="majorBidi"/>
          <w:b/>
          <w:color w:val="149346"/>
          <w:sz w:val="26"/>
          <w:szCs w:val="26"/>
          <w:lang w:val="en-US"/>
        </w:rPr>
        <w:t>Risk mitigation in terms of probabilities</w:t>
      </w:r>
      <w:bookmarkEnd w:id="27"/>
    </w:p>
    <w:p w:rsidR="001350BC" w:rsidRPr="001350BC" w:rsidRDefault="001350BC" w:rsidP="001350BC">
      <w:pPr>
        <w:spacing w:after="0"/>
        <w:rPr>
          <w:rFonts w:ascii="Garamond" w:hAnsi="Garamond"/>
          <w:sz w:val="26"/>
          <w:szCs w:val="26"/>
          <w:u w:val="single"/>
          <w:lang w:val="en-US"/>
        </w:rPr>
      </w:pPr>
    </w:p>
    <w:p w:rsidR="001350BC" w:rsidRDefault="001350BC">
      <w:pPr>
        <w:rPr>
          <w:rFonts w:ascii="Garamond" w:hAnsi="Garamond"/>
          <w:sz w:val="26"/>
          <w:szCs w:val="26"/>
          <w:lang w:val="en-US"/>
        </w:rPr>
      </w:pPr>
      <w:r w:rsidRPr="001350BC">
        <w:rPr>
          <w:rFonts w:ascii="Garamond" w:hAnsi="Garamond"/>
          <w:sz w:val="26"/>
          <w:szCs w:val="26"/>
          <w:lang w:val="en-US"/>
        </w:rPr>
        <w:t>For PIARCS to succeed financially</w:t>
      </w:r>
      <w:r>
        <w:rPr>
          <w:rFonts w:ascii="Garamond" w:hAnsi="Garamond"/>
          <w:sz w:val="26"/>
          <w:szCs w:val="26"/>
          <w:lang w:val="en-US"/>
        </w:rPr>
        <w:t xml:space="preserve"> and ensure investors’ return</w:t>
      </w:r>
      <w:r w:rsidRPr="001350BC">
        <w:rPr>
          <w:rFonts w:ascii="Garamond" w:hAnsi="Garamond"/>
          <w:sz w:val="26"/>
          <w:szCs w:val="26"/>
          <w:lang w:val="en-US"/>
        </w:rPr>
        <w:t>, only one of the independent technologies (either Algae or Phosphorus) needs to work.</w:t>
      </w:r>
    </w:p>
    <w:p w:rsidR="008F438F" w:rsidRDefault="008F438F">
      <w:pPr>
        <w:rPr>
          <w:rFonts w:ascii="Garamond" w:hAnsi="Garamond"/>
          <w:sz w:val="26"/>
          <w:szCs w:val="26"/>
          <w:lang w:val="en-US"/>
        </w:rPr>
      </w:pPr>
      <w:r>
        <w:rPr>
          <w:rFonts w:ascii="Garamond" w:hAnsi="Garamond"/>
          <w:sz w:val="26"/>
          <w:szCs w:val="26"/>
          <w:lang w:val="en-US"/>
        </w:rPr>
        <w:t>Since the two technologies are independent, the probability for the success of both is the product of the individual probabilities of success</w:t>
      </w:r>
      <w:r w:rsidR="00E47621">
        <w:rPr>
          <w:rFonts w:ascii="Garamond" w:hAnsi="Garamond"/>
          <w:sz w:val="26"/>
          <w:szCs w:val="26"/>
          <w:lang w:val="en-US"/>
        </w:rPr>
        <w:t xml:space="preserve"> (see </w:t>
      </w:r>
      <w:r w:rsidR="00E47621" w:rsidRPr="00DF0715">
        <w:rPr>
          <w:rFonts w:ascii="Garamond" w:hAnsi="Garamond"/>
          <w:b/>
          <w:sz w:val="26"/>
          <w:szCs w:val="26"/>
          <w:lang w:val="en-US"/>
        </w:rPr>
        <w:t xml:space="preserve">Fig. </w:t>
      </w:r>
      <w:r w:rsidR="00DF0715" w:rsidRPr="00DF0715">
        <w:rPr>
          <w:rFonts w:ascii="Garamond" w:hAnsi="Garamond"/>
          <w:b/>
          <w:sz w:val="26"/>
          <w:szCs w:val="26"/>
          <w:lang w:val="en-US"/>
        </w:rPr>
        <w:t>9</w:t>
      </w:r>
      <w:r w:rsidR="00E47621">
        <w:rPr>
          <w:rFonts w:ascii="Garamond" w:hAnsi="Garamond"/>
          <w:sz w:val="26"/>
          <w:szCs w:val="26"/>
          <w:lang w:val="en-US"/>
        </w:rPr>
        <w:t>)</w:t>
      </w:r>
      <w:r>
        <w:rPr>
          <w:rFonts w:ascii="Garamond" w:hAnsi="Garamond"/>
          <w:sz w:val="26"/>
          <w:szCs w:val="26"/>
          <w:lang w:val="en-US"/>
        </w:rPr>
        <w:t>.</w:t>
      </w:r>
    </w:p>
    <w:p w:rsidR="001350BC" w:rsidRDefault="001350BC">
      <w:pPr>
        <w:rPr>
          <w:rFonts w:ascii="Garamond" w:hAnsi="Garamond"/>
          <w:sz w:val="26"/>
          <w:szCs w:val="26"/>
          <w:lang w:val="en-US"/>
        </w:rPr>
      </w:pPr>
      <w:r>
        <w:rPr>
          <w:rFonts w:ascii="Garamond" w:hAnsi="Garamond"/>
          <w:noProof/>
          <w:sz w:val="26"/>
          <w:szCs w:val="26"/>
          <w:lang w:val="en-US"/>
        </w:rPr>
        <w:drawing>
          <wp:inline distT="0" distB="0" distL="0" distR="0" wp14:anchorId="2CA50BDB">
            <wp:extent cx="6123589" cy="1981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8258" cy="1982711"/>
                    </a:xfrm>
                    <a:prstGeom prst="rect">
                      <a:avLst/>
                    </a:prstGeom>
                    <a:noFill/>
                  </pic:spPr>
                </pic:pic>
              </a:graphicData>
            </a:graphic>
          </wp:inline>
        </w:drawing>
      </w:r>
    </w:p>
    <w:p w:rsidR="00E47621" w:rsidRDefault="001350BC">
      <w:pPr>
        <w:rPr>
          <w:rFonts w:ascii="Garamond" w:hAnsi="Garamond"/>
          <w:b/>
          <w:sz w:val="26"/>
          <w:szCs w:val="26"/>
          <w:lang w:val="en-US"/>
        </w:rPr>
      </w:pPr>
      <w:r>
        <w:rPr>
          <w:rFonts w:ascii="Garamond" w:hAnsi="Garamond"/>
          <w:b/>
          <w:sz w:val="26"/>
          <w:szCs w:val="26"/>
          <w:lang w:val="en-US"/>
        </w:rPr>
        <w:t xml:space="preserve">Figure </w:t>
      </w:r>
      <w:r w:rsidR="00DF0715">
        <w:rPr>
          <w:rFonts w:ascii="Garamond" w:hAnsi="Garamond"/>
          <w:b/>
          <w:sz w:val="26"/>
          <w:szCs w:val="26"/>
          <w:lang w:val="en-US"/>
        </w:rPr>
        <w:t>9</w:t>
      </w:r>
      <w:r w:rsidRPr="00833C3E">
        <w:rPr>
          <w:rFonts w:ascii="Garamond" w:hAnsi="Garamond"/>
          <w:b/>
          <w:sz w:val="26"/>
          <w:szCs w:val="26"/>
          <w:lang w:val="en-US"/>
        </w:rPr>
        <w:t xml:space="preserve">. </w:t>
      </w:r>
      <w:r w:rsidR="008F438F">
        <w:rPr>
          <w:rFonts w:ascii="Garamond" w:hAnsi="Garamond"/>
          <w:b/>
          <w:sz w:val="26"/>
          <w:szCs w:val="26"/>
          <w:lang w:val="en-US"/>
        </w:rPr>
        <w:t>Risk mitigation for the investors in terms of probabilities</w:t>
      </w:r>
    </w:p>
    <w:p w:rsidR="00E47621" w:rsidRDefault="00E47621">
      <w:pPr>
        <w:rPr>
          <w:rFonts w:ascii="Garamond" w:hAnsi="Garamond"/>
          <w:sz w:val="26"/>
          <w:szCs w:val="26"/>
          <w:lang w:val="en-US"/>
        </w:rPr>
      </w:pPr>
      <w:r>
        <w:rPr>
          <w:rFonts w:ascii="Garamond" w:hAnsi="Garamond"/>
          <w:sz w:val="26"/>
          <w:szCs w:val="26"/>
          <w:lang w:val="en-US"/>
        </w:rPr>
        <w:t>From the investors’ perspective, in the area of algal biofuel, the numerous failures of Algae Biofuel ventures to deliver milestones warrant a 10% chance of success.  In the founder’s view, in the light of her extensive experimental and theoretical work, the chances of scalable implementation are on the order of 25%.</w:t>
      </w:r>
    </w:p>
    <w:p w:rsidR="006D578A" w:rsidRDefault="00E47621">
      <w:pPr>
        <w:rPr>
          <w:rFonts w:ascii="Garamond" w:hAnsi="Garamond"/>
          <w:sz w:val="26"/>
          <w:szCs w:val="26"/>
          <w:lang w:val="en-US"/>
        </w:rPr>
      </w:pPr>
      <w:r>
        <w:rPr>
          <w:rFonts w:ascii="Garamond" w:hAnsi="Garamond"/>
          <w:sz w:val="26"/>
          <w:szCs w:val="26"/>
          <w:lang w:val="en-US"/>
        </w:rPr>
        <w:t xml:space="preserve">From the data presented in the area of phosphorus removal and </w:t>
      </w:r>
      <w:r w:rsidR="00302F89">
        <w:rPr>
          <w:rFonts w:ascii="Garamond" w:hAnsi="Garamond"/>
          <w:sz w:val="26"/>
          <w:szCs w:val="26"/>
          <w:lang w:val="en-US"/>
        </w:rPr>
        <w:t xml:space="preserve">accumulation, the investors may give the technology a 50% chance of success.  </w:t>
      </w:r>
      <w:r w:rsidR="00302F89" w:rsidRPr="00302F89">
        <w:rPr>
          <w:rFonts w:ascii="Garamond" w:hAnsi="Garamond"/>
          <w:sz w:val="26"/>
          <w:szCs w:val="26"/>
          <w:lang w:val="en-US"/>
        </w:rPr>
        <w:t>In the founder’s view, in the light of her extensive work</w:t>
      </w:r>
      <w:r w:rsidR="00302F89">
        <w:rPr>
          <w:rFonts w:ascii="Garamond" w:hAnsi="Garamond"/>
          <w:sz w:val="26"/>
          <w:szCs w:val="26"/>
          <w:lang w:val="en-US"/>
        </w:rPr>
        <w:t xml:space="preserve"> and her exposure to the field of P removal from wastewater</w:t>
      </w:r>
      <w:r w:rsidR="00302F89" w:rsidRPr="00302F89">
        <w:rPr>
          <w:rFonts w:ascii="Garamond" w:hAnsi="Garamond"/>
          <w:sz w:val="26"/>
          <w:szCs w:val="26"/>
          <w:lang w:val="en-US"/>
        </w:rPr>
        <w:t>, the chances of scalable imple</w:t>
      </w:r>
      <w:r w:rsidR="00302F89">
        <w:rPr>
          <w:rFonts w:ascii="Garamond" w:hAnsi="Garamond"/>
          <w:sz w:val="26"/>
          <w:szCs w:val="26"/>
          <w:lang w:val="en-US"/>
        </w:rPr>
        <w:t>mentation are on the order of 80</w:t>
      </w:r>
      <w:r w:rsidR="00302F89" w:rsidRPr="00302F89">
        <w:rPr>
          <w:rFonts w:ascii="Garamond" w:hAnsi="Garamond"/>
          <w:sz w:val="26"/>
          <w:szCs w:val="26"/>
          <w:lang w:val="en-US"/>
        </w:rPr>
        <w:t>%.</w:t>
      </w:r>
    </w:p>
    <w:p w:rsidR="006D578A" w:rsidRDefault="006D578A">
      <w:pPr>
        <w:rPr>
          <w:rFonts w:ascii="Garamond" w:hAnsi="Garamond"/>
          <w:sz w:val="26"/>
          <w:szCs w:val="26"/>
          <w:lang w:val="en-US"/>
        </w:rPr>
      </w:pPr>
      <w:r>
        <w:rPr>
          <w:rFonts w:ascii="Garamond" w:hAnsi="Garamond"/>
          <w:sz w:val="26"/>
          <w:szCs w:val="26"/>
          <w:lang w:val="en-US"/>
        </w:rPr>
        <w:t>Noting that, in the first 15 years, wastewater treatment license revenues dominate PIARCS’ income, risk will be skewed favorably toward successful P technologies.</w:t>
      </w:r>
    </w:p>
    <w:p w:rsidR="006D578A" w:rsidRDefault="006D578A">
      <w:pPr>
        <w:rPr>
          <w:rFonts w:ascii="Garamond" w:hAnsi="Garamond"/>
          <w:sz w:val="26"/>
          <w:szCs w:val="26"/>
          <w:lang w:val="en-US"/>
        </w:rPr>
      </w:pPr>
      <w:r>
        <w:rPr>
          <w:rFonts w:ascii="Garamond" w:hAnsi="Garamond"/>
          <w:sz w:val="26"/>
          <w:szCs w:val="26"/>
          <w:lang w:val="en-US"/>
        </w:rPr>
        <w:t>Therefore, while PIARCS has a 5-20% chance of success for both Algae and P technologies implementation, it has a 55-85% chance of ensuring investors’ returns via the success of either technology.</w:t>
      </w:r>
    </w:p>
    <w:p w:rsidR="009C0279" w:rsidRDefault="009C0279">
      <w:pPr>
        <w:rPr>
          <w:rFonts w:ascii="Garamond" w:hAnsi="Garamond"/>
          <w:sz w:val="26"/>
          <w:szCs w:val="26"/>
          <w:lang w:val="en-US"/>
        </w:rPr>
      </w:pPr>
    </w:p>
    <w:p w:rsidR="009C0279" w:rsidRDefault="009C0279">
      <w:pPr>
        <w:rPr>
          <w:rFonts w:ascii="Garamond" w:hAnsi="Garamond"/>
          <w:sz w:val="26"/>
          <w:szCs w:val="26"/>
          <w:lang w:val="en-US"/>
        </w:rPr>
      </w:pPr>
    </w:p>
    <w:p w:rsidR="00774959" w:rsidRPr="006D578A" w:rsidRDefault="00774959" w:rsidP="00774959">
      <w:pPr>
        <w:spacing w:after="0"/>
        <w:rPr>
          <w:rFonts w:ascii="Garamond" w:hAnsi="Garamond"/>
          <w:sz w:val="26"/>
          <w:szCs w:val="26"/>
          <w:lang w:val="en-US"/>
        </w:rPr>
      </w:pPr>
    </w:p>
    <w:p w:rsidR="00774959" w:rsidRPr="001350BC" w:rsidRDefault="00774959" w:rsidP="00774959">
      <w:pPr>
        <w:keepNext/>
        <w:keepLines/>
        <w:spacing w:before="40" w:after="0"/>
        <w:outlineLvl w:val="1"/>
        <w:rPr>
          <w:rFonts w:asciiTheme="majorHAnsi" w:eastAsiaTheme="majorEastAsia" w:hAnsiTheme="majorHAnsi" w:cstheme="majorBidi"/>
          <w:b/>
          <w:color w:val="149346"/>
          <w:sz w:val="26"/>
          <w:szCs w:val="26"/>
          <w:lang w:val="en-US"/>
        </w:rPr>
      </w:pPr>
      <w:bookmarkStart w:id="28" w:name="_Toc403474343"/>
      <w:r>
        <w:rPr>
          <w:rFonts w:asciiTheme="majorHAnsi" w:eastAsiaTheme="majorEastAsia" w:hAnsiTheme="majorHAnsi" w:cstheme="majorBidi"/>
          <w:b/>
          <w:color w:val="149346"/>
          <w:sz w:val="26"/>
          <w:szCs w:val="26"/>
          <w:lang w:val="en-US"/>
        </w:rPr>
        <w:t>D</w:t>
      </w:r>
      <w:r w:rsidRPr="001350BC">
        <w:rPr>
          <w:rFonts w:asciiTheme="majorHAnsi" w:eastAsiaTheme="majorEastAsia" w:hAnsiTheme="majorHAnsi" w:cstheme="majorBidi"/>
          <w:b/>
          <w:color w:val="149346"/>
          <w:sz w:val="26"/>
          <w:szCs w:val="26"/>
          <w:lang w:val="en-US"/>
        </w:rPr>
        <w:t xml:space="preserve"> – </w:t>
      </w:r>
      <w:r w:rsidR="00410599">
        <w:rPr>
          <w:rFonts w:asciiTheme="majorHAnsi" w:eastAsiaTheme="majorEastAsia" w:hAnsiTheme="majorHAnsi" w:cstheme="majorBidi"/>
          <w:b/>
          <w:color w:val="149346"/>
          <w:sz w:val="26"/>
          <w:szCs w:val="26"/>
          <w:lang w:val="en-US"/>
        </w:rPr>
        <w:t>Valuation</w:t>
      </w:r>
      <w:r w:rsidR="00147CC9">
        <w:rPr>
          <w:rFonts w:asciiTheme="majorHAnsi" w:eastAsiaTheme="majorEastAsia" w:hAnsiTheme="majorHAnsi" w:cstheme="majorBidi"/>
          <w:b/>
          <w:color w:val="149346"/>
          <w:sz w:val="26"/>
          <w:szCs w:val="26"/>
          <w:lang w:val="en-US"/>
        </w:rPr>
        <w:t xml:space="preserve"> (seed funding stage)</w:t>
      </w:r>
      <w:bookmarkEnd w:id="28"/>
    </w:p>
    <w:p w:rsidR="00774959" w:rsidRPr="001350BC" w:rsidRDefault="00774959" w:rsidP="00774959">
      <w:pPr>
        <w:spacing w:after="0"/>
        <w:rPr>
          <w:rFonts w:ascii="Garamond" w:hAnsi="Garamond"/>
          <w:sz w:val="26"/>
          <w:szCs w:val="26"/>
          <w:u w:val="single"/>
          <w:lang w:val="en-US"/>
        </w:rPr>
      </w:pPr>
    </w:p>
    <w:p w:rsidR="00943079" w:rsidRDefault="00943079">
      <w:pPr>
        <w:rPr>
          <w:rFonts w:ascii="Garamond" w:hAnsi="Garamond"/>
          <w:sz w:val="26"/>
          <w:szCs w:val="26"/>
          <w:lang w:val="en-US"/>
        </w:rPr>
      </w:pPr>
      <w:r>
        <w:rPr>
          <w:rFonts w:ascii="Garamond" w:hAnsi="Garamond"/>
          <w:sz w:val="26"/>
          <w:szCs w:val="26"/>
          <w:lang w:val="en-US"/>
        </w:rPr>
        <w:t>The valuation calculations are provided in the Excel file “Financial projections” in the “Valuation” worksheet.</w:t>
      </w:r>
    </w:p>
    <w:p w:rsidR="00546BDA" w:rsidRDefault="00546BDA">
      <w:pPr>
        <w:rPr>
          <w:rFonts w:ascii="Garamond" w:hAnsi="Garamond"/>
          <w:sz w:val="26"/>
          <w:szCs w:val="26"/>
          <w:lang w:val="en-US"/>
        </w:rPr>
      </w:pPr>
      <w:r>
        <w:rPr>
          <w:rFonts w:ascii="Garamond" w:hAnsi="Garamond"/>
          <w:sz w:val="26"/>
          <w:szCs w:val="26"/>
          <w:lang w:val="en-US"/>
        </w:rPr>
        <w:t>The exit value calculation of $125M was based on a $12.5M gross annual income by Year 5, at which point both technologies have been validated, and an Exit = 10 times the gross income.  This 10X value is in agreement with the enormous market potential at Year 5.</w:t>
      </w:r>
    </w:p>
    <w:tbl>
      <w:tblPr>
        <w:tblStyle w:val="ListTable2"/>
        <w:tblW w:w="0" w:type="auto"/>
        <w:tblLook w:val="04A0" w:firstRow="1" w:lastRow="0" w:firstColumn="1" w:lastColumn="0" w:noHBand="0" w:noVBand="1"/>
      </w:tblPr>
      <w:tblGrid>
        <w:gridCol w:w="2863"/>
        <w:gridCol w:w="1222"/>
        <w:gridCol w:w="977"/>
      </w:tblGrid>
      <w:tr w:rsidR="009C0279" w:rsidTr="00425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C0279" w:rsidRPr="009A1FA7" w:rsidRDefault="009C0279" w:rsidP="009C0279">
            <w:r w:rsidRPr="009A1FA7">
              <w:t>Scorecard Method</w:t>
            </w:r>
          </w:p>
        </w:tc>
        <w:tc>
          <w:tcPr>
            <w:tcW w:w="0" w:type="auto"/>
            <w:vAlign w:val="bottom"/>
          </w:tcPr>
          <w:p w:rsidR="009C0279" w:rsidRPr="009C0279" w:rsidRDefault="009C0279" w:rsidP="009C0279">
            <w:pPr>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000000"/>
                <w:lang w:val="en-US"/>
              </w:rPr>
            </w:pPr>
            <w:r w:rsidRPr="009C0279">
              <w:rPr>
                <w:rFonts w:ascii="Calibri" w:hAnsi="Calibri"/>
                <w:b w:val="0"/>
                <w:color w:val="000000"/>
              </w:rPr>
              <w:t>$2,250,000</w:t>
            </w:r>
          </w:p>
        </w:tc>
        <w:tc>
          <w:tcPr>
            <w:tcW w:w="0" w:type="auto"/>
          </w:tcPr>
          <w:p w:rsidR="009C0279" w:rsidRPr="002430B8" w:rsidRDefault="009C0279" w:rsidP="009C0279">
            <w:pPr>
              <w:cnfStyle w:val="100000000000" w:firstRow="1" w:lastRow="0" w:firstColumn="0" w:lastColumn="0" w:oddVBand="0" w:evenVBand="0" w:oddHBand="0" w:evenHBand="0" w:firstRowFirstColumn="0" w:firstRowLastColumn="0" w:lastRowFirstColumn="0" w:lastRowLastColumn="0"/>
              <w:rPr>
                <w:b w:val="0"/>
              </w:rPr>
            </w:pPr>
            <w:r>
              <w:rPr>
                <w:b w:val="0"/>
              </w:rPr>
              <w:t>Table 7</w:t>
            </w:r>
          </w:p>
        </w:tc>
      </w:tr>
      <w:tr w:rsidR="009C0279" w:rsidTr="00425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C0279" w:rsidRPr="009A1FA7" w:rsidRDefault="009C0279" w:rsidP="009C0279">
            <w:r w:rsidRPr="009A1FA7">
              <w:t>Risk Factor Adjusted Method</w:t>
            </w:r>
          </w:p>
        </w:tc>
        <w:tc>
          <w:tcPr>
            <w:tcW w:w="0" w:type="auto"/>
            <w:vAlign w:val="bottom"/>
          </w:tcPr>
          <w:p w:rsidR="009C0279" w:rsidRDefault="009C0279" w:rsidP="009C02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$2,667,168</w:t>
            </w:r>
          </w:p>
        </w:tc>
        <w:tc>
          <w:tcPr>
            <w:tcW w:w="0" w:type="auto"/>
          </w:tcPr>
          <w:p w:rsidR="009C0279" w:rsidRPr="009A1FA7" w:rsidRDefault="009C0279" w:rsidP="009C0279">
            <w:pPr>
              <w:cnfStyle w:val="000000100000" w:firstRow="0" w:lastRow="0" w:firstColumn="0" w:lastColumn="0" w:oddVBand="0" w:evenVBand="0" w:oddHBand="1" w:evenHBand="0" w:firstRowFirstColumn="0" w:firstRowLastColumn="0" w:lastRowFirstColumn="0" w:lastRowLastColumn="0"/>
            </w:pPr>
            <w:r>
              <w:t>Table 8</w:t>
            </w:r>
          </w:p>
        </w:tc>
      </w:tr>
      <w:tr w:rsidR="009C0279" w:rsidTr="00425E0C">
        <w:tc>
          <w:tcPr>
            <w:cnfStyle w:val="001000000000" w:firstRow="0" w:lastRow="0" w:firstColumn="1" w:lastColumn="0" w:oddVBand="0" w:evenVBand="0" w:oddHBand="0" w:evenHBand="0" w:firstRowFirstColumn="0" w:firstRowLastColumn="0" w:lastRowFirstColumn="0" w:lastRowLastColumn="0"/>
            <w:tcW w:w="0" w:type="auto"/>
          </w:tcPr>
          <w:p w:rsidR="009C0279" w:rsidRPr="009A1FA7" w:rsidRDefault="009C0279" w:rsidP="009C0279">
            <w:r w:rsidRPr="009A1FA7">
              <w:t>Net Present Value Method</w:t>
            </w:r>
          </w:p>
        </w:tc>
        <w:tc>
          <w:tcPr>
            <w:tcW w:w="0" w:type="auto"/>
            <w:vAlign w:val="bottom"/>
          </w:tcPr>
          <w:p w:rsidR="009C0279" w:rsidRDefault="009C0279" w:rsidP="009C02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$3,125,000</w:t>
            </w:r>
          </w:p>
        </w:tc>
        <w:tc>
          <w:tcPr>
            <w:tcW w:w="0" w:type="auto"/>
          </w:tcPr>
          <w:p w:rsidR="009C0279" w:rsidRPr="009A1FA7" w:rsidRDefault="009C0279" w:rsidP="009C0279">
            <w:pPr>
              <w:cnfStyle w:val="000000000000" w:firstRow="0" w:lastRow="0" w:firstColumn="0" w:lastColumn="0" w:oddVBand="0" w:evenVBand="0" w:oddHBand="0" w:evenHBand="0" w:firstRowFirstColumn="0" w:firstRowLastColumn="0" w:lastRowFirstColumn="0" w:lastRowLastColumn="0"/>
            </w:pPr>
            <w:r>
              <w:t>Table 9</w:t>
            </w:r>
          </w:p>
        </w:tc>
      </w:tr>
      <w:tr w:rsidR="009C0279" w:rsidTr="00425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C0279" w:rsidRPr="009A1FA7" w:rsidRDefault="009C0279" w:rsidP="009C0279">
            <w:r w:rsidRPr="009A1FA7">
              <w:t>Burn Rate Method</w:t>
            </w:r>
          </w:p>
        </w:tc>
        <w:tc>
          <w:tcPr>
            <w:tcW w:w="0" w:type="auto"/>
            <w:vAlign w:val="bottom"/>
          </w:tcPr>
          <w:p w:rsidR="009C0279" w:rsidRDefault="009C0279" w:rsidP="009C02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$3,000,000</w:t>
            </w:r>
          </w:p>
        </w:tc>
        <w:tc>
          <w:tcPr>
            <w:tcW w:w="0" w:type="auto"/>
          </w:tcPr>
          <w:p w:rsidR="009C0279" w:rsidRPr="009A1FA7" w:rsidRDefault="009C0279" w:rsidP="009C0279">
            <w:pPr>
              <w:cnfStyle w:val="000000100000" w:firstRow="0" w:lastRow="0" w:firstColumn="0" w:lastColumn="0" w:oddVBand="0" w:evenVBand="0" w:oddHBand="1" w:evenHBand="0" w:firstRowFirstColumn="0" w:firstRowLastColumn="0" w:lastRowFirstColumn="0" w:lastRowLastColumn="0"/>
            </w:pPr>
            <w:r>
              <w:t>Table 10</w:t>
            </w:r>
          </w:p>
        </w:tc>
      </w:tr>
      <w:tr w:rsidR="009C0279" w:rsidTr="00425E0C">
        <w:tc>
          <w:tcPr>
            <w:cnfStyle w:val="001000000000" w:firstRow="0" w:lastRow="0" w:firstColumn="1" w:lastColumn="0" w:oddVBand="0" w:evenVBand="0" w:oddHBand="0" w:evenHBand="0" w:firstRowFirstColumn="0" w:firstRowLastColumn="0" w:lastRowFirstColumn="0" w:lastRowLastColumn="0"/>
            <w:tcW w:w="0" w:type="auto"/>
          </w:tcPr>
          <w:p w:rsidR="009C0279" w:rsidRPr="009A1FA7" w:rsidRDefault="009C0279" w:rsidP="009C0279"/>
        </w:tc>
        <w:tc>
          <w:tcPr>
            <w:tcW w:w="0" w:type="auto"/>
            <w:vAlign w:val="bottom"/>
          </w:tcPr>
          <w:p w:rsidR="009C0279" w:rsidRDefault="009C0279" w:rsidP="009C02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w:t>
            </w:r>
          </w:p>
        </w:tc>
        <w:tc>
          <w:tcPr>
            <w:tcW w:w="0" w:type="auto"/>
          </w:tcPr>
          <w:p w:rsidR="009C0279" w:rsidRPr="009A1FA7" w:rsidRDefault="009C0279" w:rsidP="009C0279">
            <w:pPr>
              <w:cnfStyle w:val="000000000000" w:firstRow="0" w:lastRow="0" w:firstColumn="0" w:lastColumn="0" w:oddVBand="0" w:evenVBand="0" w:oddHBand="0" w:evenHBand="0" w:firstRowFirstColumn="0" w:firstRowLastColumn="0" w:lastRowFirstColumn="0" w:lastRowLastColumn="0"/>
            </w:pPr>
          </w:p>
        </w:tc>
      </w:tr>
      <w:tr w:rsidR="009C0279" w:rsidTr="00425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C0279" w:rsidRPr="009A1FA7" w:rsidRDefault="009C0279" w:rsidP="009C0279">
            <w:r w:rsidRPr="009A1FA7">
              <w:t>Average</w:t>
            </w:r>
          </w:p>
        </w:tc>
        <w:tc>
          <w:tcPr>
            <w:tcW w:w="0" w:type="auto"/>
            <w:vAlign w:val="bottom"/>
          </w:tcPr>
          <w:p w:rsidR="009C0279" w:rsidRPr="009C0279" w:rsidRDefault="009C0279" w:rsidP="009C0279">
            <w:pPr>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9C0279">
              <w:rPr>
                <w:rFonts w:ascii="Calibri" w:hAnsi="Calibri"/>
                <w:b/>
                <w:color w:val="FF0000"/>
              </w:rPr>
              <w:t>$2,760,542</w:t>
            </w:r>
          </w:p>
        </w:tc>
        <w:tc>
          <w:tcPr>
            <w:tcW w:w="0" w:type="auto"/>
          </w:tcPr>
          <w:p w:rsidR="009C0279" w:rsidRPr="009A1FA7" w:rsidRDefault="009C0279" w:rsidP="009C0279">
            <w:pPr>
              <w:cnfStyle w:val="000000100000" w:firstRow="0" w:lastRow="0" w:firstColumn="0" w:lastColumn="0" w:oddVBand="0" w:evenVBand="0" w:oddHBand="1" w:evenHBand="0" w:firstRowFirstColumn="0" w:firstRowLastColumn="0" w:lastRowFirstColumn="0" w:lastRowLastColumn="0"/>
            </w:pPr>
          </w:p>
        </w:tc>
      </w:tr>
      <w:tr w:rsidR="009C0279" w:rsidTr="00425E0C">
        <w:tc>
          <w:tcPr>
            <w:cnfStyle w:val="001000000000" w:firstRow="0" w:lastRow="0" w:firstColumn="1" w:lastColumn="0" w:oddVBand="0" w:evenVBand="0" w:oddHBand="0" w:evenHBand="0" w:firstRowFirstColumn="0" w:firstRowLastColumn="0" w:lastRowFirstColumn="0" w:lastRowLastColumn="0"/>
            <w:tcW w:w="0" w:type="auto"/>
          </w:tcPr>
          <w:p w:rsidR="009C0279" w:rsidRPr="009A1FA7" w:rsidRDefault="009C0279" w:rsidP="009C0279">
            <w:r w:rsidRPr="009A1FA7">
              <w:t>Standard Deviation</w:t>
            </w:r>
          </w:p>
        </w:tc>
        <w:tc>
          <w:tcPr>
            <w:tcW w:w="0" w:type="auto"/>
            <w:vAlign w:val="bottom"/>
          </w:tcPr>
          <w:p w:rsidR="009C0279" w:rsidRDefault="009C0279" w:rsidP="009C02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$391,383</w:t>
            </w:r>
          </w:p>
        </w:tc>
        <w:tc>
          <w:tcPr>
            <w:tcW w:w="0" w:type="auto"/>
          </w:tcPr>
          <w:p w:rsidR="009C0279" w:rsidRPr="009A1FA7" w:rsidRDefault="009C0279" w:rsidP="009C0279">
            <w:pPr>
              <w:cnfStyle w:val="000000000000" w:firstRow="0" w:lastRow="0" w:firstColumn="0" w:lastColumn="0" w:oddVBand="0" w:evenVBand="0" w:oddHBand="0" w:evenHBand="0" w:firstRowFirstColumn="0" w:firstRowLastColumn="0" w:lastRowFirstColumn="0" w:lastRowLastColumn="0"/>
            </w:pPr>
          </w:p>
        </w:tc>
      </w:tr>
      <w:tr w:rsidR="009C0279" w:rsidRPr="002430B8" w:rsidTr="00425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C0279" w:rsidRPr="009A1FA7" w:rsidRDefault="009C0279" w:rsidP="009C0279">
            <w:r w:rsidRPr="009A1FA7">
              <w:t>Median</w:t>
            </w:r>
          </w:p>
        </w:tc>
        <w:tc>
          <w:tcPr>
            <w:tcW w:w="0" w:type="auto"/>
            <w:vAlign w:val="bottom"/>
          </w:tcPr>
          <w:p w:rsidR="009C0279" w:rsidRDefault="009C0279" w:rsidP="009C02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$2,833,584</w:t>
            </w:r>
          </w:p>
        </w:tc>
        <w:tc>
          <w:tcPr>
            <w:tcW w:w="0" w:type="auto"/>
          </w:tcPr>
          <w:p w:rsidR="009C0279" w:rsidRPr="002430B8" w:rsidRDefault="009C0279" w:rsidP="009C0279">
            <w:pPr>
              <w:cnfStyle w:val="000000100000" w:firstRow="0" w:lastRow="0" w:firstColumn="0" w:lastColumn="0" w:oddVBand="0" w:evenVBand="0" w:oddHBand="1" w:evenHBand="0" w:firstRowFirstColumn="0" w:firstRowLastColumn="0" w:lastRowFirstColumn="0" w:lastRowLastColumn="0"/>
              <w:rPr>
                <w:b/>
                <w:color w:val="FF0000"/>
              </w:rPr>
            </w:pPr>
          </w:p>
        </w:tc>
      </w:tr>
    </w:tbl>
    <w:p w:rsidR="006166D5" w:rsidRDefault="002430B8" w:rsidP="002430B8">
      <w:pPr>
        <w:spacing w:before="120"/>
        <w:rPr>
          <w:rFonts w:ascii="Garamond" w:hAnsi="Garamond"/>
          <w:sz w:val="26"/>
          <w:szCs w:val="26"/>
          <w:lang w:val="en-US"/>
        </w:rPr>
      </w:pPr>
      <w:r w:rsidRPr="002430B8">
        <w:rPr>
          <w:rFonts w:ascii="Garamond" w:hAnsi="Garamond"/>
          <w:b/>
          <w:sz w:val="26"/>
          <w:szCs w:val="26"/>
          <w:lang w:val="en-US"/>
        </w:rPr>
        <w:t>Table 6. Four valuation methods</w:t>
      </w:r>
      <w:r w:rsidR="00346898">
        <w:rPr>
          <w:rFonts w:ascii="Garamond" w:hAnsi="Garamond"/>
          <w:b/>
          <w:sz w:val="26"/>
          <w:szCs w:val="26"/>
          <w:lang w:val="en-US"/>
        </w:rPr>
        <w:t xml:space="preserve"> (post-money valuation).  </w:t>
      </w:r>
      <w:r w:rsidR="00346898">
        <w:rPr>
          <w:rFonts w:ascii="Garamond" w:hAnsi="Garamond"/>
          <w:sz w:val="26"/>
          <w:szCs w:val="26"/>
          <w:lang w:val="en-US"/>
        </w:rPr>
        <w:t>A value of $</w:t>
      </w:r>
      <w:r w:rsidR="009C0279">
        <w:rPr>
          <w:rFonts w:ascii="Garamond" w:hAnsi="Garamond"/>
          <w:sz w:val="26"/>
          <w:szCs w:val="26"/>
          <w:lang w:val="en-US"/>
        </w:rPr>
        <w:t>2.5</w:t>
      </w:r>
      <w:r w:rsidR="00346898">
        <w:rPr>
          <w:rFonts w:ascii="Garamond" w:hAnsi="Garamond"/>
          <w:sz w:val="26"/>
          <w:szCs w:val="26"/>
          <w:lang w:val="en-US"/>
        </w:rPr>
        <w:t>M post-money valuation will be used subsequently to raise the 20% seed Equity.</w:t>
      </w:r>
      <w:r w:rsidR="006166D5">
        <w:rPr>
          <w:rFonts w:ascii="Garamond" w:hAnsi="Garamond"/>
          <w:sz w:val="26"/>
          <w:szCs w:val="26"/>
          <w:lang w:val="en-US"/>
        </w:rPr>
        <w:t xml:space="preserve">  The table for each method is shown below (Tables 7-10).</w:t>
      </w:r>
    </w:p>
    <w:p w:rsidR="006166D5" w:rsidRDefault="006166D5" w:rsidP="006166D5">
      <w:pPr>
        <w:rPr>
          <w:rFonts w:ascii="Garamond" w:hAnsi="Garamond"/>
          <w:sz w:val="26"/>
          <w:szCs w:val="26"/>
          <w:lang w:val="en-US"/>
        </w:rPr>
      </w:pPr>
    </w:p>
    <w:p w:rsidR="002430B8" w:rsidRDefault="009C0279" w:rsidP="006166D5">
      <w:pPr>
        <w:rPr>
          <w:rFonts w:ascii="Garamond" w:hAnsi="Garamond"/>
          <w:sz w:val="26"/>
          <w:szCs w:val="26"/>
          <w:lang w:val="en-US"/>
        </w:rPr>
      </w:pPr>
      <w:r w:rsidRPr="009C0279">
        <w:rPr>
          <w:noProof/>
          <w:lang w:val="en-US"/>
        </w:rPr>
        <w:drawing>
          <wp:inline distT="0" distB="0" distL="0" distR="0">
            <wp:extent cx="5943600" cy="138037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380375"/>
                    </a:xfrm>
                    <a:prstGeom prst="rect">
                      <a:avLst/>
                    </a:prstGeom>
                    <a:noFill/>
                    <a:ln>
                      <a:noFill/>
                    </a:ln>
                  </pic:spPr>
                </pic:pic>
              </a:graphicData>
            </a:graphic>
          </wp:inline>
        </w:drawing>
      </w:r>
    </w:p>
    <w:p w:rsidR="006166D5" w:rsidRPr="006166D5" w:rsidRDefault="006166D5" w:rsidP="006166D5">
      <w:pPr>
        <w:rPr>
          <w:rFonts w:ascii="Garamond" w:hAnsi="Garamond"/>
          <w:b/>
          <w:sz w:val="26"/>
          <w:szCs w:val="26"/>
          <w:lang w:val="en-US"/>
        </w:rPr>
      </w:pPr>
      <w:r w:rsidRPr="006166D5">
        <w:rPr>
          <w:rFonts w:ascii="Garamond" w:hAnsi="Garamond"/>
          <w:b/>
          <w:sz w:val="26"/>
          <w:szCs w:val="26"/>
          <w:lang w:val="en-US"/>
        </w:rPr>
        <w:t xml:space="preserve">Table </w:t>
      </w:r>
      <w:r>
        <w:rPr>
          <w:rFonts w:ascii="Garamond" w:hAnsi="Garamond"/>
          <w:b/>
          <w:sz w:val="26"/>
          <w:szCs w:val="26"/>
          <w:lang w:val="en-US"/>
        </w:rPr>
        <w:t>7</w:t>
      </w:r>
      <w:r w:rsidRPr="006166D5">
        <w:rPr>
          <w:rFonts w:ascii="Garamond" w:hAnsi="Garamond"/>
          <w:b/>
          <w:sz w:val="26"/>
          <w:szCs w:val="26"/>
          <w:lang w:val="en-US"/>
        </w:rPr>
        <w:t>. Scorecard method</w:t>
      </w:r>
    </w:p>
    <w:p w:rsidR="006166D5" w:rsidRPr="006166D5" w:rsidRDefault="006166D5" w:rsidP="006166D5">
      <w:pPr>
        <w:rPr>
          <w:rFonts w:ascii="Garamond" w:hAnsi="Garamond"/>
          <w:sz w:val="26"/>
          <w:szCs w:val="26"/>
          <w:lang w:val="en-US"/>
        </w:rPr>
      </w:pPr>
    </w:p>
    <w:p w:rsidR="006166D5" w:rsidRDefault="009C0279" w:rsidP="002430B8">
      <w:pPr>
        <w:spacing w:before="120"/>
        <w:rPr>
          <w:rFonts w:ascii="Garamond" w:hAnsi="Garamond"/>
          <w:sz w:val="26"/>
          <w:szCs w:val="26"/>
          <w:lang w:val="en-US"/>
        </w:rPr>
      </w:pPr>
      <w:r w:rsidRPr="009C0279">
        <w:rPr>
          <w:noProof/>
          <w:lang w:val="en-US"/>
        </w:rPr>
        <w:drawing>
          <wp:inline distT="0" distB="0" distL="0" distR="0">
            <wp:extent cx="5943600" cy="1856223"/>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856223"/>
                    </a:xfrm>
                    <a:prstGeom prst="rect">
                      <a:avLst/>
                    </a:prstGeom>
                    <a:noFill/>
                    <a:ln>
                      <a:noFill/>
                    </a:ln>
                  </pic:spPr>
                </pic:pic>
              </a:graphicData>
            </a:graphic>
          </wp:inline>
        </w:drawing>
      </w:r>
    </w:p>
    <w:p w:rsidR="006166D5" w:rsidRPr="006166D5" w:rsidRDefault="006166D5" w:rsidP="006166D5">
      <w:pPr>
        <w:rPr>
          <w:rFonts w:ascii="Garamond" w:hAnsi="Garamond"/>
          <w:b/>
          <w:sz w:val="26"/>
          <w:szCs w:val="26"/>
          <w:lang w:val="en-US"/>
        </w:rPr>
      </w:pPr>
      <w:r w:rsidRPr="006166D5">
        <w:rPr>
          <w:rFonts w:ascii="Garamond" w:hAnsi="Garamond"/>
          <w:b/>
          <w:sz w:val="26"/>
          <w:szCs w:val="26"/>
          <w:lang w:val="en-US"/>
        </w:rPr>
        <w:t xml:space="preserve">Table </w:t>
      </w:r>
      <w:r>
        <w:rPr>
          <w:rFonts w:ascii="Garamond" w:hAnsi="Garamond"/>
          <w:b/>
          <w:sz w:val="26"/>
          <w:szCs w:val="26"/>
          <w:lang w:val="en-US"/>
        </w:rPr>
        <w:t>8</w:t>
      </w:r>
      <w:r w:rsidRPr="006166D5">
        <w:rPr>
          <w:rFonts w:ascii="Garamond" w:hAnsi="Garamond"/>
          <w:b/>
          <w:sz w:val="26"/>
          <w:szCs w:val="26"/>
          <w:lang w:val="en-US"/>
        </w:rPr>
        <w:t>.</w:t>
      </w:r>
      <w:r>
        <w:rPr>
          <w:rFonts w:ascii="Garamond" w:hAnsi="Garamond"/>
          <w:b/>
          <w:sz w:val="26"/>
          <w:szCs w:val="26"/>
          <w:lang w:val="en-US"/>
        </w:rPr>
        <w:t xml:space="preserve"> Risk adjusted</w:t>
      </w:r>
      <w:r w:rsidRPr="006166D5">
        <w:rPr>
          <w:rFonts w:ascii="Garamond" w:hAnsi="Garamond"/>
          <w:b/>
          <w:sz w:val="26"/>
          <w:szCs w:val="26"/>
          <w:lang w:val="en-US"/>
        </w:rPr>
        <w:t xml:space="preserve"> method</w:t>
      </w:r>
    </w:p>
    <w:p w:rsidR="006166D5" w:rsidRDefault="006166D5" w:rsidP="002430B8">
      <w:pPr>
        <w:spacing w:before="120"/>
        <w:rPr>
          <w:rFonts w:ascii="Garamond" w:hAnsi="Garamond"/>
          <w:sz w:val="26"/>
          <w:szCs w:val="26"/>
          <w:lang w:val="en-US"/>
        </w:rPr>
      </w:pPr>
    </w:p>
    <w:p w:rsidR="006166D5" w:rsidRDefault="009C0279" w:rsidP="002430B8">
      <w:pPr>
        <w:spacing w:before="120"/>
        <w:rPr>
          <w:rFonts w:ascii="Garamond" w:hAnsi="Garamond"/>
          <w:sz w:val="26"/>
          <w:szCs w:val="26"/>
          <w:lang w:val="en-US"/>
        </w:rPr>
      </w:pPr>
      <w:r w:rsidRPr="009C0279">
        <w:rPr>
          <w:noProof/>
          <w:lang w:val="en-US"/>
        </w:rPr>
        <w:drawing>
          <wp:inline distT="0" distB="0" distL="0" distR="0">
            <wp:extent cx="4572000" cy="9715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971550"/>
                    </a:xfrm>
                    <a:prstGeom prst="rect">
                      <a:avLst/>
                    </a:prstGeom>
                    <a:noFill/>
                    <a:ln>
                      <a:noFill/>
                    </a:ln>
                  </pic:spPr>
                </pic:pic>
              </a:graphicData>
            </a:graphic>
          </wp:inline>
        </w:drawing>
      </w:r>
    </w:p>
    <w:p w:rsidR="006166D5" w:rsidRPr="006166D5" w:rsidRDefault="006166D5" w:rsidP="006166D5">
      <w:pPr>
        <w:rPr>
          <w:rFonts w:ascii="Garamond" w:hAnsi="Garamond"/>
          <w:b/>
          <w:sz w:val="26"/>
          <w:szCs w:val="26"/>
          <w:lang w:val="en-US"/>
        </w:rPr>
      </w:pPr>
      <w:r w:rsidRPr="006166D5">
        <w:rPr>
          <w:rFonts w:ascii="Garamond" w:hAnsi="Garamond"/>
          <w:b/>
          <w:sz w:val="26"/>
          <w:szCs w:val="26"/>
          <w:lang w:val="en-US"/>
        </w:rPr>
        <w:t xml:space="preserve">Table </w:t>
      </w:r>
      <w:r>
        <w:rPr>
          <w:rFonts w:ascii="Garamond" w:hAnsi="Garamond"/>
          <w:b/>
          <w:sz w:val="26"/>
          <w:szCs w:val="26"/>
          <w:lang w:val="en-US"/>
        </w:rPr>
        <w:t>9. Simplified Net Present Value</w:t>
      </w:r>
      <w:r w:rsidRPr="006166D5">
        <w:rPr>
          <w:rFonts w:ascii="Garamond" w:hAnsi="Garamond"/>
          <w:b/>
          <w:sz w:val="26"/>
          <w:szCs w:val="26"/>
          <w:lang w:val="en-US"/>
        </w:rPr>
        <w:t xml:space="preserve"> method</w:t>
      </w:r>
    </w:p>
    <w:p w:rsidR="006166D5" w:rsidRDefault="006166D5" w:rsidP="002430B8">
      <w:pPr>
        <w:spacing w:before="120"/>
        <w:rPr>
          <w:rFonts w:ascii="Garamond" w:hAnsi="Garamond"/>
          <w:sz w:val="26"/>
          <w:szCs w:val="26"/>
          <w:lang w:val="en-US"/>
        </w:rPr>
      </w:pPr>
    </w:p>
    <w:p w:rsidR="006166D5" w:rsidRDefault="009C0279" w:rsidP="002430B8">
      <w:pPr>
        <w:spacing w:before="120"/>
        <w:rPr>
          <w:rFonts w:ascii="Garamond" w:hAnsi="Garamond"/>
          <w:sz w:val="26"/>
          <w:szCs w:val="26"/>
          <w:lang w:val="en-US"/>
        </w:rPr>
      </w:pPr>
      <w:r w:rsidRPr="009C0279">
        <w:rPr>
          <w:noProof/>
          <w:lang w:val="en-US"/>
        </w:rPr>
        <w:drawing>
          <wp:inline distT="0" distB="0" distL="0" distR="0">
            <wp:extent cx="4572000" cy="15430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1543050"/>
                    </a:xfrm>
                    <a:prstGeom prst="rect">
                      <a:avLst/>
                    </a:prstGeom>
                    <a:noFill/>
                    <a:ln>
                      <a:noFill/>
                    </a:ln>
                  </pic:spPr>
                </pic:pic>
              </a:graphicData>
            </a:graphic>
          </wp:inline>
        </w:drawing>
      </w:r>
    </w:p>
    <w:p w:rsidR="006166D5" w:rsidRPr="006166D5" w:rsidRDefault="006166D5" w:rsidP="006166D5">
      <w:pPr>
        <w:rPr>
          <w:rFonts w:ascii="Garamond" w:hAnsi="Garamond"/>
          <w:b/>
          <w:sz w:val="26"/>
          <w:szCs w:val="26"/>
          <w:lang w:val="en-US"/>
        </w:rPr>
      </w:pPr>
      <w:r w:rsidRPr="006166D5">
        <w:rPr>
          <w:rFonts w:ascii="Garamond" w:hAnsi="Garamond"/>
          <w:b/>
          <w:sz w:val="26"/>
          <w:szCs w:val="26"/>
          <w:lang w:val="en-US"/>
        </w:rPr>
        <w:t xml:space="preserve">Table </w:t>
      </w:r>
      <w:r>
        <w:rPr>
          <w:rFonts w:ascii="Garamond" w:hAnsi="Garamond"/>
          <w:b/>
          <w:sz w:val="26"/>
          <w:szCs w:val="26"/>
          <w:lang w:val="en-US"/>
        </w:rPr>
        <w:t>10</w:t>
      </w:r>
      <w:r w:rsidRPr="006166D5">
        <w:rPr>
          <w:rFonts w:ascii="Garamond" w:hAnsi="Garamond"/>
          <w:b/>
          <w:sz w:val="26"/>
          <w:szCs w:val="26"/>
          <w:lang w:val="en-US"/>
        </w:rPr>
        <w:t>.</w:t>
      </w:r>
      <w:r>
        <w:rPr>
          <w:rFonts w:ascii="Garamond" w:hAnsi="Garamond"/>
          <w:b/>
          <w:sz w:val="26"/>
          <w:szCs w:val="26"/>
          <w:lang w:val="en-US"/>
        </w:rPr>
        <w:t xml:space="preserve"> Burn-rate</w:t>
      </w:r>
      <w:r w:rsidRPr="006166D5">
        <w:rPr>
          <w:rFonts w:ascii="Garamond" w:hAnsi="Garamond"/>
          <w:b/>
          <w:sz w:val="26"/>
          <w:szCs w:val="26"/>
          <w:lang w:val="en-US"/>
        </w:rPr>
        <w:t xml:space="preserve"> method</w:t>
      </w:r>
    </w:p>
    <w:p w:rsidR="000513C4" w:rsidRDefault="000513C4" w:rsidP="000513C4">
      <w:pPr>
        <w:spacing w:after="0"/>
        <w:rPr>
          <w:rFonts w:ascii="Garamond" w:hAnsi="Garamond"/>
          <w:sz w:val="26"/>
          <w:szCs w:val="26"/>
          <w:lang w:val="en-US"/>
        </w:rPr>
      </w:pPr>
    </w:p>
    <w:p w:rsidR="009C0279" w:rsidRDefault="009C0279" w:rsidP="000513C4">
      <w:pPr>
        <w:spacing w:after="0"/>
        <w:rPr>
          <w:rFonts w:ascii="Garamond" w:hAnsi="Garamond"/>
          <w:sz w:val="26"/>
          <w:szCs w:val="26"/>
          <w:lang w:val="en-US"/>
        </w:rPr>
      </w:pPr>
    </w:p>
    <w:p w:rsidR="009C0279" w:rsidRDefault="009C0279" w:rsidP="000513C4">
      <w:pPr>
        <w:spacing w:after="0"/>
        <w:rPr>
          <w:rFonts w:ascii="Garamond" w:hAnsi="Garamond"/>
          <w:sz w:val="26"/>
          <w:szCs w:val="26"/>
          <w:lang w:val="en-US"/>
        </w:rPr>
      </w:pPr>
    </w:p>
    <w:p w:rsidR="009C0279" w:rsidRDefault="009C0279" w:rsidP="000513C4">
      <w:pPr>
        <w:spacing w:after="0"/>
        <w:rPr>
          <w:rFonts w:ascii="Garamond" w:hAnsi="Garamond"/>
          <w:sz w:val="26"/>
          <w:szCs w:val="26"/>
          <w:lang w:val="en-US"/>
        </w:rPr>
      </w:pPr>
    </w:p>
    <w:p w:rsidR="009C0279" w:rsidRDefault="009C0279" w:rsidP="000513C4">
      <w:pPr>
        <w:spacing w:after="0"/>
        <w:rPr>
          <w:rFonts w:ascii="Garamond" w:hAnsi="Garamond"/>
          <w:sz w:val="26"/>
          <w:szCs w:val="26"/>
          <w:lang w:val="en-US"/>
        </w:rPr>
      </w:pPr>
    </w:p>
    <w:p w:rsidR="009C0279" w:rsidRDefault="009C0279" w:rsidP="000513C4">
      <w:pPr>
        <w:spacing w:after="0"/>
        <w:rPr>
          <w:rFonts w:ascii="Garamond" w:hAnsi="Garamond"/>
          <w:sz w:val="26"/>
          <w:szCs w:val="26"/>
          <w:lang w:val="en-US"/>
        </w:rPr>
      </w:pPr>
    </w:p>
    <w:p w:rsidR="009C0279" w:rsidRDefault="009C0279" w:rsidP="000513C4">
      <w:pPr>
        <w:spacing w:after="0"/>
        <w:rPr>
          <w:rFonts w:ascii="Garamond" w:hAnsi="Garamond"/>
          <w:sz w:val="26"/>
          <w:szCs w:val="26"/>
          <w:lang w:val="en-US"/>
        </w:rPr>
      </w:pPr>
    </w:p>
    <w:p w:rsidR="009C0279" w:rsidRPr="006D578A" w:rsidRDefault="009C0279" w:rsidP="000513C4">
      <w:pPr>
        <w:spacing w:after="0"/>
        <w:rPr>
          <w:rFonts w:ascii="Garamond" w:hAnsi="Garamond"/>
          <w:sz w:val="26"/>
          <w:szCs w:val="26"/>
          <w:lang w:val="en-US"/>
        </w:rPr>
      </w:pPr>
    </w:p>
    <w:p w:rsidR="000513C4" w:rsidRPr="001350BC" w:rsidRDefault="000513C4" w:rsidP="000513C4">
      <w:pPr>
        <w:keepNext/>
        <w:keepLines/>
        <w:spacing w:before="40" w:after="0"/>
        <w:outlineLvl w:val="1"/>
        <w:rPr>
          <w:rFonts w:asciiTheme="majorHAnsi" w:eastAsiaTheme="majorEastAsia" w:hAnsiTheme="majorHAnsi" w:cstheme="majorBidi"/>
          <w:b/>
          <w:color w:val="149346"/>
          <w:sz w:val="26"/>
          <w:szCs w:val="26"/>
          <w:lang w:val="en-US"/>
        </w:rPr>
      </w:pPr>
      <w:bookmarkStart w:id="29" w:name="_Toc403474344"/>
      <w:r>
        <w:rPr>
          <w:rFonts w:asciiTheme="majorHAnsi" w:eastAsiaTheme="majorEastAsia" w:hAnsiTheme="majorHAnsi" w:cstheme="majorBidi"/>
          <w:b/>
          <w:color w:val="149346"/>
          <w:sz w:val="26"/>
          <w:szCs w:val="26"/>
          <w:lang w:val="en-US"/>
        </w:rPr>
        <w:t>E</w:t>
      </w:r>
      <w:r w:rsidRPr="001350BC">
        <w:rPr>
          <w:rFonts w:asciiTheme="majorHAnsi" w:eastAsiaTheme="majorEastAsia" w:hAnsiTheme="majorHAnsi" w:cstheme="majorBidi"/>
          <w:b/>
          <w:color w:val="149346"/>
          <w:sz w:val="26"/>
          <w:szCs w:val="26"/>
          <w:lang w:val="en-US"/>
        </w:rPr>
        <w:t xml:space="preserve"> – </w:t>
      </w:r>
      <w:r>
        <w:rPr>
          <w:rFonts w:asciiTheme="majorHAnsi" w:eastAsiaTheme="majorEastAsia" w:hAnsiTheme="majorHAnsi" w:cstheme="majorBidi"/>
          <w:b/>
          <w:color w:val="149346"/>
          <w:sz w:val="26"/>
          <w:szCs w:val="26"/>
          <w:lang w:val="en-US"/>
        </w:rPr>
        <w:t>Planned investment rounds</w:t>
      </w:r>
      <w:bookmarkEnd w:id="29"/>
    </w:p>
    <w:p w:rsidR="000513C4" w:rsidRPr="001350BC" w:rsidRDefault="000513C4" w:rsidP="000513C4">
      <w:pPr>
        <w:spacing w:after="0"/>
        <w:rPr>
          <w:rFonts w:ascii="Garamond" w:hAnsi="Garamond"/>
          <w:sz w:val="26"/>
          <w:szCs w:val="26"/>
          <w:u w:val="single"/>
          <w:lang w:val="en-US"/>
        </w:rPr>
      </w:pPr>
    </w:p>
    <w:p w:rsidR="007A53F2" w:rsidRDefault="007A53F2" w:rsidP="002430B8">
      <w:pPr>
        <w:spacing w:before="120"/>
        <w:rPr>
          <w:rFonts w:ascii="Garamond" w:hAnsi="Garamond"/>
          <w:sz w:val="26"/>
          <w:szCs w:val="26"/>
          <w:lang w:val="en-US"/>
        </w:rPr>
      </w:pPr>
      <w:r>
        <w:rPr>
          <w:rFonts w:ascii="Garamond" w:hAnsi="Garamond"/>
          <w:sz w:val="26"/>
          <w:szCs w:val="26"/>
          <w:lang w:val="en-US"/>
        </w:rPr>
        <w:t>T</w:t>
      </w:r>
      <w:r w:rsidR="00B046B2">
        <w:rPr>
          <w:rFonts w:ascii="Garamond" w:hAnsi="Garamond"/>
          <w:sz w:val="26"/>
          <w:szCs w:val="26"/>
          <w:lang w:val="en-US"/>
        </w:rPr>
        <w:t>he seed round fits into the broader scope of several investment rounds (Fig. 10).</w:t>
      </w:r>
    </w:p>
    <w:p w:rsidR="00B046B2" w:rsidRDefault="001C2CCA" w:rsidP="002430B8">
      <w:pPr>
        <w:spacing w:before="120"/>
        <w:rPr>
          <w:rFonts w:ascii="Garamond" w:hAnsi="Garamond"/>
          <w:sz w:val="26"/>
          <w:szCs w:val="26"/>
          <w:lang w:val="en-US"/>
        </w:rPr>
      </w:pPr>
      <w:r>
        <w:rPr>
          <w:rFonts w:ascii="Garamond" w:hAnsi="Garamond"/>
          <w:noProof/>
          <w:sz w:val="26"/>
          <w:szCs w:val="26"/>
          <w:lang w:val="en-US"/>
        </w:rPr>
        <w:drawing>
          <wp:inline distT="0" distB="0" distL="0" distR="0" wp14:anchorId="1E528511">
            <wp:extent cx="5760720" cy="1096522"/>
            <wp:effectExtent l="0" t="0" r="0" b="889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1096522"/>
                    </a:xfrm>
                    <a:prstGeom prst="rect">
                      <a:avLst/>
                    </a:prstGeom>
                    <a:noFill/>
                  </pic:spPr>
                </pic:pic>
              </a:graphicData>
            </a:graphic>
          </wp:inline>
        </w:drawing>
      </w:r>
      <w:r w:rsidR="007A53F2" w:rsidRPr="007A53F2">
        <w:rPr>
          <w:rFonts w:ascii="Garamond" w:hAnsi="Garamond"/>
          <w:b/>
          <w:sz w:val="26"/>
          <w:szCs w:val="26"/>
          <w:lang w:val="en-US"/>
        </w:rPr>
        <w:t xml:space="preserve">Figure </w:t>
      </w:r>
      <w:r w:rsidR="00DF0715">
        <w:rPr>
          <w:rFonts w:ascii="Garamond" w:hAnsi="Garamond"/>
          <w:b/>
          <w:sz w:val="26"/>
          <w:szCs w:val="26"/>
          <w:lang w:val="en-US"/>
        </w:rPr>
        <w:t>10</w:t>
      </w:r>
      <w:r w:rsidR="007A53F2" w:rsidRPr="007A53F2">
        <w:rPr>
          <w:rFonts w:ascii="Garamond" w:hAnsi="Garamond"/>
          <w:b/>
          <w:sz w:val="26"/>
          <w:szCs w:val="26"/>
          <w:lang w:val="en-US"/>
        </w:rPr>
        <w:t>. Planned rounds of investment</w:t>
      </w:r>
      <w:r w:rsidR="007A53F2" w:rsidRPr="00B046B2">
        <w:rPr>
          <w:rFonts w:ascii="Garamond" w:hAnsi="Garamond"/>
          <w:b/>
          <w:sz w:val="26"/>
          <w:szCs w:val="26"/>
          <w:lang w:val="en-US"/>
        </w:rPr>
        <w:t>.</w:t>
      </w:r>
      <w:r w:rsidR="00B046B2" w:rsidRPr="00B046B2">
        <w:rPr>
          <w:rFonts w:ascii="Garamond" w:hAnsi="Garamond"/>
          <w:sz w:val="26"/>
          <w:szCs w:val="26"/>
          <w:lang w:val="en-US"/>
        </w:rPr>
        <w:t xml:space="preserve"> </w:t>
      </w:r>
      <w:r w:rsidR="00B046B2" w:rsidRPr="00B046B2">
        <w:rPr>
          <w:rFonts w:ascii="Garamond" w:hAnsi="Garamond"/>
          <w:sz w:val="26"/>
          <w:szCs w:val="26"/>
          <w:vertAlign w:val="superscript"/>
          <w:lang w:val="en-US"/>
        </w:rPr>
        <w:t>a</w:t>
      </w:r>
      <w:r w:rsidR="00B046B2" w:rsidRPr="00B046B2">
        <w:rPr>
          <w:rFonts w:ascii="Garamond" w:hAnsi="Garamond"/>
          <w:sz w:val="26"/>
          <w:szCs w:val="26"/>
          <w:lang w:val="en-US"/>
        </w:rPr>
        <w:t xml:space="preserve">Based on </w:t>
      </w:r>
      <w:r w:rsidR="00B046B2">
        <w:rPr>
          <w:rFonts w:ascii="Garamond" w:hAnsi="Garamond"/>
          <w:sz w:val="26"/>
          <w:szCs w:val="26"/>
          <w:lang w:val="en-US"/>
        </w:rPr>
        <w:t xml:space="preserve">a valuation of $ </w:t>
      </w:r>
      <w:r w:rsidR="009C0279">
        <w:rPr>
          <w:rFonts w:ascii="Garamond" w:hAnsi="Garamond"/>
          <w:sz w:val="26"/>
          <w:szCs w:val="26"/>
          <w:lang w:val="en-US"/>
        </w:rPr>
        <w:t>2.8</w:t>
      </w:r>
      <w:r w:rsidR="00B046B2">
        <w:rPr>
          <w:rFonts w:ascii="Garamond" w:hAnsi="Garamond"/>
          <w:sz w:val="26"/>
          <w:szCs w:val="26"/>
          <w:lang w:val="en-US"/>
        </w:rPr>
        <w:t xml:space="preserve"> ± </w:t>
      </w:r>
      <w:r w:rsidR="009C0279">
        <w:rPr>
          <w:rFonts w:ascii="Garamond" w:hAnsi="Garamond"/>
          <w:sz w:val="26"/>
          <w:szCs w:val="26"/>
          <w:lang w:val="en-US"/>
        </w:rPr>
        <w:t>0.4</w:t>
      </w:r>
      <w:r w:rsidR="00B046B2" w:rsidRPr="00B046B2">
        <w:rPr>
          <w:rFonts w:ascii="Garamond" w:hAnsi="Garamond"/>
          <w:sz w:val="26"/>
          <w:szCs w:val="26"/>
          <w:lang w:val="en-US"/>
        </w:rPr>
        <w:t xml:space="preserve"> M (Section 3-D)</w:t>
      </w:r>
      <w:r w:rsidR="00B046B2">
        <w:rPr>
          <w:rFonts w:ascii="Garamond" w:hAnsi="Garamond"/>
          <w:sz w:val="26"/>
          <w:szCs w:val="26"/>
          <w:lang w:val="en-US"/>
        </w:rPr>
        <w:t>.</w:t>
      </w:r>
    </w:p>
    <w:p w:rsidR="00B046B2" w:rsidRDefault="00B046B2" w:rsidP="002430B8">
      <w:pPr>
        <w:spacing w:before="120"/>
        <w:rPr>
          <w:rFonts w:ascii="Garamond" w:hAnsi="Garamond"/>
          <w:sz w:val="26"/>
          <w:szCs w:val="26"/>
          <w:lang w:val="en-US"/>
        </w:rPr>
      </w:pPr>
      <w:r>
        <w:rPr>
          <w:rFonts w:ascii="Garamond" w:hAnsi="Garamond"/>
          <w:sz w:val="26"/>
          <w:szCs w:val="26"/>
          <w:lang w:val="en-US"/>
        </w:rPr>
        <w:t xml:space="preserve">Various </w:t>
      </w:r>
      <w:r w:rsidR="007A53F2" w:rsidRPr="00B046B2">
        <w:rPr>
          <w:rFonts w:ascii="Garamond" w:hAnsi="Garamond"/>
          <w:sz w:val="26"/>
          <w:szCs w:val="26"/>
          <w:lang w:val="en-US"/>
        </w:rPr>
        <w:t>VC</w:t>
      </w:r>
      <w:r>
        <w:rPr>
          <w:rFonts w:ascii="Garamond" w:hAnsi="Garamond"/>
          <w:sz w:val="26"/>
          <w:szCs w:val="26"/>
          <w:lang w:val="en-US"/>
        </w:rPr>
        <w:t xml:space="preserve"> firms have shown interest in PIARCS’ technology (Aster Capital, Pangea Ventures,</w:t>
      </w:r>
      <w:r w:rsidRPr="00B046B2">
        <w:rPr>
          <w:lang w:val="en-US"/>
        </w:rPr>
        <w:t xml:space="preserve"> </w:t>
      </w:r>
      <w:r w:rsidRPr="00B046B2">
        <w:rPr>
          <w:rFonts w:ascii="Garamond" w:hAnsi="Garamond"/>
          <w:sz w:val="26"/>
          <w:szCs w:val="26"/>
          <w:lang w:val="en-US"/>
        </w:rPr>
        <w:t>Emerald Technology Ventures</w:t>
      </w:r>
      <w:r>
        <w:rPr>
          <w:rFonts w:ascii="Garamond" w:hAnsi="Garamond"/>
          <w:sz w:val="26"/>
          <w:szCs w:val="26"/>
          <w:lang w:val="en-US"/>
        </w:rPr>
        <w:t>).  These firms require prototype validation before they can commit their investors’ funds – which is the object of the seed-stage funding round and milestones.  VC’s will be contacted again for the early-stage funding.</w:t>
      </w:r>
    </w:p>
    <w:p w:rsidR="00B046B2" w:rsidRDefault="00B046B2" w:rsidP="002430B8">
      <w:pPr>
        <w:spacing w:before="120"/>
        <w:rPr>
          <w:rFonts w:ascii="Garamond" w:hAnsi="Garamond"/>
          <w:sz w:val="26"/>
          <w:szCs w:val="26"/>
          <w:lang w:val="en-US"/>
        </w:rPr>
      </w:pPr>
      <w:r>
        <w:rPr>
          <w:rFonts w:ascii="Garamond" w:hAnsi="Garamond"/>
          <w:sz w:val="26"/>
          <w:szCs w:val="26"/>
          <w:lang w:val="en-US"/>
        </w:rPr>
        <w:t xml:space="preserve">Regarding the subsequent rounds, Debt financing will be preferred over Equity, in order to avoid stock dilution.  Debt financing is most appropriate due to the fact that </w:t>
      </w:r>
      <w:r w:rsidR="005F0C7D">
        <w:rPr>
          <w:rFonts w:ascii="Garamond" w:hAnsi="Garamond"/>
          <w:sz w:val="26"/>
          <w:szCs w:val="26"/>
          <w:lang w:val="en-US"/>
        </w:rPr>
        <w:t>licensing contracts with wastewater facilities would ensure PIARCS a reliable income.</w:t>
      </w:r>
    </w:p>
    <w:p w:rsidR="005F0C7D" w:rsidRDefault="005F0C7D" w:rsidP="002430B8">
      <w:pPr>
        <w:spacing w:before="120"/>
        <w:rPr>
          <w:rFonts w:ascii="Garamond" w:hAnsi="Garamond"/>
          <w:sz w:val="26"/>
          <w:szCs w:val="26"/>
          <w:lang w:val="en-US"/>
        </w:rPr>
      </w:pPr>
      <w:r>
        <w:rPr>
          <w:rFonts w:ascii="Garamond" w:hAnsi="Garamond"/>
          <w:sz w:val="26"/>
          <w:szCs w:val="26"/>
          <w:lang w:val="en-US"/>
        </w:rPr>
        <w:t>In addition, strategic partnerships will be sought as a means to fund R&amp;D and large-scale prototype implementation.  In parallel, PIARCS will apply for research and infrastructure grants (BDEG Program…).</w:t>
      </w:r>
    </w:p>
    <w:p w:rsidR="005F0C7D" w:rsidRPr="006D578A" w:rsidRDefault="005F0C7D" w:rsidP="005F0C7D">
      <w:pPr>
        <w:spacing w:after="0"/>
        <w:rPr>
          <w:rFonts w:ascii="Garamond" w:hAnsi="Garamond"/>
          <w:sz w:val="26"/>
          <w:szCs w:val="26"/>
          <w:lang w:val="en-US"/>
        </w:rPr>
      </w:pPr>
    </w:p>
    <w:p w:rsidR="005F0C7D" w:rsidRPr="001350BC" w:rsidRDefault="005F0C7D" w:rsidP="005F0C7D">
      <w:pPr>
        <w:keepNext/>
        <w:keepLines/>
        <w:spacing w:before="40" w:after="0"/>
        <w:outlineLvl w:val="1"/>
        <w:rPr>
          <w:rFonts w:asciiTheme="majorHAnsi" w:eastAsiaTheme="majorEastAsia" w:hAnsiTheme="majorHAnsi" w:cstheme="majorBidi"/>
          <w:b/>
          <w:color w:val="149346"/>
          <w:sz w:val="26"/>
          <w:szCs w:val="26"/>
          <w:lang w:val="en-US"/>
        </w:rPr>
      </w:pPr>
      <w:bookmarkStart w:id="30" w:name="_Toc403474345"/>
      <w:r>
        <w:rPr>
          <w:rFonts w:asciiTheme="majorHAnsi" w:eastAsiaTheme="majorEastAsia" w:hAnsiTheme="majorHAnsi" w:cstheme="majorBidi"/>
          <w:b/>
          <w:color w:val="149346"/>
          <w:sz w:val="26"/>
          <w:szCs w:val="26"/>
          <w:lang w:val="en-US"/>
        </w:rPr>
        <w:t>F</w:t>
      </w:r>
      <w:r w:rsidRPr="001350BC">
        <w:rPr>
          <w:rFonts w:asciiTheme="majorHAnsi" w:eastAsiaTheme="majorEastAsia" w:hAnsiTheme="majorHAnsi" w:cstheme="majorBidi"/>
          <w:b/>
          <w:color w:val="149346"/>
          <w:sz w:val="26"/>
          <w:szCs w:val="26"/>
          <w:lang w:val="en-US"/>
        </w:rPr>
        <w:t xml:space="preserve"> – </w:t>
      </w:r>
      <w:r>
        <w:rPr>
          <w:rFonts w:asciiTheme="majorHAnsi" w:eastAsiaTheme="majorEastAsia" w:hAnsiTheme="majorHAnsi" w:cstheme="majorBidi"/>
          <w:b/>
          <w:color w:val="149346"/>
          <w:sz w:val="26"/>
          <w:szCs w:val="26"/>
          <w:lang w:val="en-US"/>
        </w:rPr>
        <w:t>PIARCS’ corporate structure and taxation</w:t>
      </w:r>
      <w:bookmarkEnd w:id="30"/>
    </w:p>
    <w:p w:rsidR="005F0C7D" w:rsidRPr="001350BC" w:rsidRDefault="005F0C7D" w:rsidP="005F0C7D">
      <w:pPr>
        <w:spacing w:after="0"/>
        <w:rPr>
          <w:rFonts w:ascii="Garamond" w:hAnsi="Garamond"/>
          <w:sz w:val="26"/>
          <w:szCs w:val="26"/>
          <w:u w:val="single"/>
          <w:lang w:val="en-US"/>
        </w:rPr>
      </w:pPr>
    </w:p>
    <w:p w:rsidR="005F0C7D" w:rsidRDefault="00C678D1" w:rsidP="002430B8">
      <w:pPr>
        <w:spacing w:before="120"/>
        <w:rPr>
          <w:rFonts w:ascii="Garamond" w:hAnsi="Garamond"/>
          <w:sz w:val="26"/>
          <w:szCs w:val="26"/>
          <w:lang w:val="en-US"/>
        </w:rPr>
      </w:pPr>
      <w:r>
        <w:rPr>
          <w:rFonts w:ascii="Garamond" w:hAnsi="Garamond"/>
          <w:sz w:val="26"/>
          <w:szCs w:val="26"/>
          <w:lang w:val="en-US"/>
        </w:rPr>
        <w:t>PIARCS is currently a Delaware Public Benefit Corporation and is taxed as a C-corp.  The dividend structure incurs unnecessary financial burden, since the Annual Net Income (ANI) is taxed at the corporate level.  Therefore, depending on the funding route, PIARCS may choose to become a B-lab certified B corporation and become a LLC.  Indeed, the LLC is a flow-through entity, such that the ANI is not taxed.  This shift would highly benefit the shareholders by increasing the dividend returns.  The B-lab certification would maintain the idea of the Public Benefit purpose.</w:t>
      </w:r>
    </w:p>
    <w:p w:rsidR="00B046B2" w:rsidRDefault="00B046B2" w:rsidP="002430B8">
      <w:pPr>
        <w:spacing w:before="120"/>
        <w:rPr>
          <w:rFonts w:ascii="Garamond" w:hAnsi="Garamond"/>
          <w:sz w:val="26"/>
          <w:szCs w:val="26"/>
          <w:lang w:val="en-US"/>
        </w:rPr>
      </w:pPr>
    </w:p>
    <w:p w:rsidR="008923F8" w:rsidRPr="007A53F2" w:rsidRDefault="008923F8" w:rsidP="002430B8">
      <w:pPr>
        <w:spacing w:before="120"/>
        <w:rPr>
          <w:rFonts w:ascii="Garamond" w:hAnsi="Garamond"/>
          <w:b/>
          <w:sz w:val="26"/>
          <w:szCs w:val="26"/>
          <w:lang w:val="en-US"/>
        </w:rPr>
      </w:pPr>
      <w:r w:rsidRPr="00B046B2">
        <w:rPr>
          <w:rFonts w:ascii="Garamond" w:hAnsi="Garamond"/>
          <w:b/>
          <w:sz w:val="26"/>
          <w:szCs w:val="26"/>
          <w:lang w:val="en-US"/>
        </w:rPr>
        <w:br w:type="page"/>
      </w:r>
    </w:p>
    <w:p w:rsidR="008923F8" w:rsidRDefault="008923F8" w:rsidP="000946FA">
      <w:pPr>
        <w:spacing w:after="0"/>
        <w:ind w:left="1800"/>
        <w:rPr>
          <w:rFonts w:ascii="Garamond" w:hAnsi="Garamond"/>
          <w:sz w:val="26"/>
          <w:szCs w:val="26"/>
          <w:lang w:val="en-US"/>
        </w:rPr>
      </w:pPr>
    </w:p>
    <w:p w:rsidR="00247B35" w:rsidRPr="00FE5480" w:rsidRDefault="00247B35" w:rsidP="00247B35">
      <w:pPr>
        <w:keepNext/>
        <w:keepLines/>
        <w:spacing w:before="240" w:after="0"/>
        <w:outlineLvl w:val="0"/>
        <w:rPr>
          <w:rFonts w:asciiTheme="majorHAnsi" w:eastAsiaTheme="majorEastAsia" w:hAnsiTheme="majorHAnsi" w:cstheme="majorBidi"/>
          <w:b/>
          <w:color w:val="149346"/>
          <w:sz w:val="28"/>
          <w:szCs w:val="28"/>
          <w:lang w:val="en-US"/>
        </w:rPr>
      </w:pPr>
      <w:bookmarkStart w:id="31" w:name="_Toc403474346"/>
      <w:r w:rsidRPr="00FE5480">
        <w:rPr>
          <w:rFonts w:asciiTheme="majorHAnsi" w:eastAsiaTheme="majorEastAsia" w:hAnsiTheme="majorHAnsi" w:cstheme="majorBidi"/>
          <w:b/>
          <w:color w:val="149346"/>
          <w:sz w:val="28"/>
          <w:szCs w:val="28"/>
          <w:lang w:val="en-US"/>
        </w:rPr>
        <w:t xml:space="preserve">Section </w:t>
      </w:r>
      <w:r w:rsidR="007A1FED">
        <w:rPr>
          <w:rFonts w:asciiTheme="majorHAnsi" w:eastAsiaTheme="majorEastAsia" w:hAnsiTheme="majorHAnsi" w:cstheme="majorBidi"/>
          <w:b/>
          <w:color w:val="149346"/>
          <w:sz w:val="28"/>
          <w:szCs w:val="28"/>
          <w:lang w:val="en-US"/>
        </w:rPr>
        <w:t>4</w:t>
      </w:r>
      <w:r w:rsidRPr="00FE5480">
        <w:rPr>
          <w:rFonts w:asciiTheme="majorHAnsi" w:eastAsiaTheme="majorEastAsia" w:hAnsiTheme="majorHAnsi" w:cstheme="majorBidi"/>
          <w:b/>
          <w:color w:val="149346"/>
          <w:sz w:val="28"/>
          <w:szCs w:val="28"/>
          <w:lang w:val="en-US"/>
        </w:rPr>
        <w:t xml:space="preserve">: </w:t>
      </w:r>
      <w:r w:rsidR="00AD5B6C">
        <w:rPr>
          <w:rFonts w:asciiTheme="majorHAnsi" w:eastAsiaTheme="majorEastAsia" w:hAnsiTheme="majorHAnsi" w:cstheme="majorBidi"/>
          <w:b/>
          <w:color w:val="149346"/>
          <w:sz w:val="28"/>
          <w:szCs w:val="28"/>
          <w:lang w:val="en-US"/>
        </w:rPr>
        <w:t>Appendix and Supporting Documents</w:t>
      </w:r>
      <w:bookmarkEnd w:id="31"/>
    </w:p>
    <w:p w:rsidR="006F46D7" w:rsidRDefault="006F46D7" w:rsidP="006F46D7">
      <w:pPr>
        <w:spacing w:after="0"/>
        <w:ind w:left="360"/>
        <w:rPr>
          <w:rFonts w:asciiTheme="majorHAnsi" w:hAnsiTheme="majorHAnsi"/>
          <w:sz w:val="26"/>
          <w:szCs w:val="26"/>
          <w:lang w:val="en-US"/>
        </w:rPr>
      </w:pPr>
    </w:p>
    <w:p w:rsidR="008923F8" w:rsidRPr="00FE5480" w:rsidRDefault="008923F8" w:rsidP="006F46D7">
      <w:pPr>
        <w:spacing w:after="0"/>
        <w:ind w:left="360"/>
        <w:rPr>
          <w:rFonts w:asciiTheme="majorHAnsi" w:hAnsiTheme="majorHAnsi"/>
          <w:sz w:val="26"/>
          <w:szCs w:val="26"/>
          <w:lang w:val="en-US"/>
        </w:rPr>
      </w:pPr>
    </w:p>
    <w:p w:rsidR="00247B35" w:rsidRPr="00FE5480" w:rsidRDefault="00247B35" w:rsidP="00247B35">
      <w:pPr>
        <w:keepNext/>
        <w:keepLines/>
        <w:spacing w:before="40" w:after="0"/>
        <w:outlineLvl w:val="1"/>
        <w:rPr>
          <w:rFonts w:asciiTheme="majorHAnsi" w:eastAsiaTheme="majorEastAsia" w:hAnsiTheme="majorHAnsi" w:cstheme="majorBidi"/>
          <w:b/>
          <w:color w:val="149346"/>
          <w:sz w:val="26"/>
          <w:szCs w:val="26"/>
          <w:lang w:val="en-US"/>
        </w:rPr>
      </w:pPr>
      <w:bookmarkStart w:id="32" w:name="_Toc403474347"/>
      <w:r w:rsidRPr="00FE5480">
        <w:rPr>
          <w:rFonts w:asciiTheme="majorHAnsi" w:eastAsiaTheme="majorEastAsia" w:hAnsiTheme="majorHAnsi" w:cstheme="majorBidi"/>
          <w:b/>
          <w:color w:val="149346"/>
          <w:sz w:val="26"/>
          <w:szCs w:val="26"/>
          <w:lang w:val="en-US"/>
        </w:rPr>
        <w:t>A – PIARCS’ founder CV</w:t>
      </w:r>
      <w:bookmarkEnd w:id="32"/>
    </w:p>
    <w:p w:rsidR="00625158" w:rsidRDefault="00625158" w:rsidP="00625158">
      <w:pPr>
        <w:rPr>
          <w:rFonts w:asciiTheme="majorHAnsi" w:hAnsiTheme="majorHAnsi"/>
          <w:lang w:val="en-US"/>
        </w:rPr>
      </w:pPr>
    </w:p>
    <w:p w:rsidR="008923F8" w:rsidRDefault="008923F8" w:rsidP="00625158">
      <w:pPr>
        <w:rPr>
          <w:rFonts w:ascii="Garamond" w:hAnsi="Garamond"/>
          <w:sz w:val="26"/>
          <w:szCs w:val="26"/>
          <w:lang w:val="en-US"/>
        </w:rPr>
      </w:pPr>
      <w:r>
        <w:rPr>
          <w:rFonts w:ascii="Garamond" w:hAnsi="Garamond"/>
          <w:sz w:val="26"/>
          <w:szCs w:val="26"/>
          <w:lang w:val="en-US"/>
        </w:rPr>
        <w:t>CV provided below.</w:t>
      </w:r>
    </w:p>
    <w:p w:rsidR="008923F8" w:rsidRPr="00FE5480" w:rsidRDefault="008923F8" w:rsidP="00625158">
      <w:pPr>
        <w:rPr>
          <w:rFonts w:asciiTheme="majorHAnsi" w:hAnsiTheme="majorHAnsi"/>
          <w:lang w:val="en-US"/>
        </w:rPr>
      </w:pPr>
    </w:p>
    <w:p w:rsidR="00625158" w:rsidRPr="00FE5480" w:rsidRDefault="00C0687F" w:rsidP="00625158">
      <w:pPr>
        <w:keepNext/>
        <w:keepLines/>
        <w:spacing w:before="40" w:after="0"/>
        <w:outlineLvl w:val="1"/>
        <w:rPr>
          <w:rFonts w:asciiTheme="majorHAnsi" w:eastAsiaTheme="majorEastAsia" w:hAnsiTheme="majorHAnsi" w:cstheme="majorBidi"/>
          <w:b/>
          <w:color w:val="149346"/>
          <w:sz w:val="26"/>
          <w:szCs w:val="26"/>
          <w:lang w:val="en-US"/>
        </w:rPr>
      </w:pPr>
      <w:bookmarkStart w:id="33" w:name="_Toc403474348"/>
      <w:r w:rsidRPr="00FE5480">
        <w:rPr>
          <w:rFonts w:asciiTheme="majorHAnsi" w:eastAsiaTheme="majorEastAsia" w:hAnsiTheme="majorHAnsi" w:cstheme="majorBidi"/>
          <w:b/>
          <w:color w:val="149346"/>
          <w:sz w:val="26"/>
          <w:szCs w:val="26"/>
          <w:lang w:val="en-US"/>
        </w:rPr>
        <w:t>B – PIARCS’</w:t>
      </w:r>
      <w:r w:rsidR="00625158" w:rsidRPr="00FE5480">
        <w:rPr>
          <w:rFonts w:asciiTheme="majorHAnsi" w:eastAsiaTheme="majorEastAsia" w:hAnsiTheme="majorHAnsi" w:cstheme="majorBidi"/>
          <w:b/>
          <w:color w:val="149346"/>
          <w:sz w:val="26"/>
          <w:szCs w:val="26"/>
          <w:lang w:val="en-US"/>
        </w:rPr>
        <w:t xml:space="preserve"> legal </w:t>
      </w:r>
      <w:r w:rsidR="00DF456A" w:rsidRPr="00FE5480">
        <w:rPr>
          <w:rFonts w:asciiTheme="majorHAnsi" w:eastAsiaTheme="majorEastAsia" w:hAnsiTheme="majorHAnsi" w:cstheme="majorBidi"/>
          <w:b/>
          <w:color w:val="149346"/>
          <w:sz w:val="26"/>
          <w:szCs w:val="26"/>
          <w:lang w:val="en-US"/>
        </w:rPr>
        <w:t xml:space="preserve">and official </w:t>
      </w:r>
      <w:r w:rsidR="00625158" w:rsidRPr="00FE5480">
        <w:rPr>
          <w:rFonts w:asciiTheme="majorHAnsi" w:eastAsiaTheme="majorEastAsia" w:hAnsiTheme="majorHAnsi" w:cstheme="majorBidi"/>
          <w:b/>
          <w:color w:val="149346"/>
          <w:sz w:val="26"/>
          <w:szCs w:val="26"/>
          <w:lang w:val="en-US"/>
        </w:rPr>
        <w:t>documents available upon request</w:t>
      </w:r>
      <w:bookmarkEnd w:id="33"/>
    </w:p>
    <w:p w:rsidR="004A6B23" w:rsidRDefault="004A6B23" w:rsidP="00976C98">
      <w:pPr>
        <w:rPr>
          <w:lang w:val="en-US"/>
        </w:rPr>
      </w:pPr>
    </w:p>
    <w:p w:rsidR="004A6B23" w:rsidRPr="004A6B23" w:rsidRDefault="00145D58" w:rsidP="00976C98">
      <w:pPr>
        <w:rPr>
          <w:rFonts w:ascii="Garamond" w:hAnsi="Garamond"/>
          <w:sz w:val="26"/>
          <w:szCs w:val="26"/>
          <w:lang w:val="en-US"/>
        </w:rPr>
      </w:pPr>
      <w:r>
        <w:rPr>
          <w:rFonts w:ascii="Garamond" w:hAnsi="Garamond"/>
          <w:sz w:val="26"/>
          <w:szCs w:val="26"/>
          <w:lang w:val="en-US"/>
        </w:rPr>
        <w:t>PIARCS’ RoC Due Diligence Repository provides the following collated documents:</w:t>
      </w:r>
    </w:p>
    <w:p w:rsidR="00625158" w:rsidRPr="000E3B87" w:rsidRDefault="00625158" w:rsidP="001A6B67">
      <w:pPr>
        <w:pStyle w:val="ListParagraph"/>
        <w:numPr>
          <w:ilvl w:val="0"/>
          <w:numId w:val="26"/>
        </w:numPr>
        <w:contextualSpacing w:val="0"/>
        <w:rPr>
          <w:rFonts w:ascii="Garamond" w:hAnsi="Garamond"/>
          <w:sz w:val="26"/>
          <w:szCs w:val="26"/>
          <w:lang w:val="en-US"/>
        </w:rPr>
      </w:pPr>
      <w:r w:rsidRPr="000E3B87">
        <w:rPr>
          <w:rFonts w:ascii="Garamond" w:hAnsi="Garamond"/>
          <w:sz w:val="26"/>
          <w:szCs w:val="26"/>
          <w:lang w:val="en-US"/>
        </w:rPr>
        <w:t>Certificate of Incorporation of PIARCS, PBC, as a Delaware Public Benefit Corporation (filed March 10 2014)</w:t>
      </w:r>
    </w:p>
    <w:p w:rsidR="00625158" w:rsidRPr="000E3B87" w:rsidRDefault="00625158" w:rsidP="000E3B87">
      <w:pPr>
        <w:pStyle w:val="ListParagraph"/>
        <w:numPr>
          <w:ilvl w:val="0"/>
          <w:numId w:val="26"/>
        </w:numPr>
        <w:contextualSpacing w:val="0"/>
        <w:rPr>
          <w:rFonts w:ascii="Garamond" w:hAnsi="Garamond"/>
          <w:sz w:val="26"/>
          <w:szCs w:val="26"/>
          <w:lang w:val="en-US"/>
        </w:rPr>
      </w:pPr>
      <w:r w:rsidRPr="000E3B87">
        <w:rPr>
          <w:rFonts w:ascii="Garamond" w:hAnsi="Garamond"/>
          <w:sz w:val="26"/>
          <w:szCs w:val="26"/>
          <w:lang w:val="en-US"/>
        </w:rPr>
        <w:t>Action of Incorporator of PIARCS, PBC pursuant to Section 108 of the Delaware General Corporation Law with respect to the initial organization of the corporation</w:t>
      </w:r>
      <w:r w:rsidR="00620D83" w:rsidRPr="000E3B87">
        <w:rPr>
          <w:rFonts w:ascii="Garamond" w:hAnsi="Garamond"/>
          <w:sz w:val="26"/>
          <w:szCs w:val="26"/>
          <w:lang w:val="en-US"/>
        </w:rPr>
        <w:t xml:space="preserve"> (March 12, 2014)</w:t>
      </w:r>
    </w:p>
    <w:p w:rsidR="00625158" w:rsidRPr="000E3B87" w:rsidRDefault="00625158" w:rsidP="000E3B87">
      <w:pPr>
        <w:pStyle w:val="ListParagraph"/>
        <w:numPr>
          <w:ilvl w:val="0"/>
          <w:numId w:val="26"/>
        </w:numPr>
        <w:contextualSpacing w:val="0"/>
        <w:rPr>
          <w:rFonts w:ascii="Garamond" w:hAnsi="Garamond"/>
          <w:sz w:val="26"/>
          <w:szCs w:val="26"/>
          <w:lang w:val="en-US"/>
        </w:rPr>
      </w:pPr>
      <w:r w:rsidRPr="000E3B87">
        <w:rPr>
          <w:rFonts w:ascii="Garamond" w:hAnsi="Garamond"/>
          <w:sz w:val="26"/>
          <w:szCs w:val="26"/>
          <w:lang w:val="en-US"/>
        </w:rPr>
        <w:t>PIARCS, PBC Action by unanimous written consent</w:t>
      </w:r>
      <w:r w:rsidR="00620D83" w:rsidRPr="000E3B87">
        <w:rPr>
          <w:rFonts w:ascii="Garamond" w:hAnsi="Garamond"/>
          <w:sz w:val="26"/>
          <w:szCs w:val="26"/>
          <w:lang w:val="en-US"/>
        </w:rPr>
        <w:t xml:space="preserve"> of the Board of Directors (March 12, 2014)</w:t>
      </w:r>
    </w:p>
    <w:p w:rsidR="00620D83" w:rsidRPr="000E3B87" w:rsidRDefault="00620D83" w:rsidP="000E3B87">
      <w:pPr>
        <w:pStyle w:val="ListParagraph"/>
        <w:numPr>
          <w:ilvl w:val="0"/>
          <w:numId w:val="26"/>
        </w:numPr>
        <w:contextualSpacing w:val="0"/>
        <w:rPr>
          <w:rFonts w:ascii="Garamond" w:hAnsi="Garamond"/>
          <w:sz w:val="26"/>
          <w:szCs w:val="26"/>
          <w:lang w:val="en-US"/>
        </w:rPr>
      </w:pPr>
      <w:r w:rsidRPr="000E3B87">
        <w:rPr>
          <w:rFonts w:ascii="Garamond" w:hAnsi="Garamond"/>
          <w:sz w:val="26"/>
          <w:szCs w:val="26"/>
          <w:lang w:val="en-US"/>
        </w:rPr>
        <w:t>Bylaws of PIARCS, PBC (March 12, 2014)</w:t>
      </w:r>
    </w:p>
    <w:p w:rsidR="00625158" w:rsidRPr="000E3B87" w:rsidRDefault="00620D83" w:rsidP="000E3B87">
      <w:pPr>
        <w:pStyle w:val="ListParagraph"/>
        <w:numPr>
          <w:ilvl w:val="0"/>
          <w:numId w:val="26"/>
        </w:numPr>
        <w:contextualSpacing w:val="0"/>
        <w:rPr>
          <w:rFonts w:ascii="Garamond" w:hAnsi="Garamond"/>
          <w:sz w:val="26"/>
          <w:szCs w:val="26"/>
          <w:lang w:val="en-US"/>
        </w:rPr>
      </w:pPr>
      <w:r w:rsidRPr="000E3B87">
        <w:rPr>
          <w:rFonts w:ascii="Garamond" w:hAnsi="Garamond"/>
          <w:sz w:val="26"/>
          <w:szCs w:val="26"/>
          <w:lang w:val="en-US"/>
        </w:rPr>
        <w:t>PIARCS, PBC indemnification agreement (March 12, 2014)</w:t>
      </w:r>
    </w:p>
    <w:p w:rsidR="00460CD2" w:rsidRPr="000E3B87" w:rsidRDefault="00460CD2" w:rsidP="000E3B87">
      <w:pPr>
        <w:pStyle w:val="ListParagraph"/>
        <w:numPr>
          <w:ilvl w:val="0"/>
          <w:numId w:val="26"/>
        </w:numPr>
        <w:contextualSpacing w:val="0"/>
        <w:rPr>
          <w:rFonts w:ascii="Garamond" w:hAnsi="Garamond"/>
          <w:sz w:val="26"/>
          <w:szCs w:val="26"/>
          <w:lang w:val="en-US"/>
        </w:rPr>
      </w:pPr>
      <w:r w:rsidRPr="000E3B87">
        <w:rPr>
          <w:rFonts w:ascii="Garamond" w:hAnsi="Garamond"/>
          <w:sz w:val="26"/>
          <w:szCs w:val="26"/>
          <w:lang w:val="en-US"/>
        </w:rPr>
        <w:t>PIARCS, PBC stock purchase agreement (March 12, 2014)</w:t>
      </w:r>
    </w:p>
    <w:p w:rsidR="00625158" w:rsidRDefault="00620D83" w:rsidP="000E3B87">
      <w:pPr>
        <w:pStyle w:val="ListParagraph"/>
        <w:numPr>
          <w:ilvl w:val="0"/>
          <w:numId w:val="26"/>
        </w:numPr>
        <w:contextualSpacing w:val="0"/>
        <w:rPr>
          <w:rFonts w:ascii="Garamond" w:hAnsi="Garamond"/>
          <w:sz w:val="26"/>
          <w:szCs w:val="26"/>
          <w:lang w:val="en-US"/>
        </w:rPr>
      </w:pPr>
      <w:r w:rsidRPr="000E3B87">
        <w:rPr>
          <w:rFonts w:ascii="Garamond" w:hAnsi="Garamond"/>
          <w:sz w:val="26"/>
          <w:szCs w:val="26"/>
          <w:lang w:val="en-US"/>
        </w:rPr>
        <w:t>PIARCS, PBC</w:t>
      </w:r>
      <w:r w:rsidR="00460CD2" w:rsidRPr="000E3B87">
        <w:rPr>
          <w:rFonts w:ascii="Garamond" w:hAnsi="Garamond"/>
          <w:sz w:val="26"/>
          <w:szCs w:val="26"/>
          <w:lang w:val="en-US"/>
        </w:rPr>
        <w:t xml:space="preserve"> action by unanimous written consent of the board of directors</w:t>
      </w:r>
      <w:r w:rsidRPr="000E3B87">
        <w:rPr>
          <w:rFonts w:ascii="Garamond" w:hAnsi="Garamond"/>
          <w:sz w:val="26"/>
          <w:szCs w:val="26"/>
          <w:lang w:val="en-US"/>
        </w:rPr>
        <w:t xml:space="preserve"> </w:t>
      </w:r>
      <w:r w:rsidR="00460CD2" w:rsidRPr="000E3B87">
        <w:rPr>
          <w:rFonts w:ascii="Garamond" w:hAnsi="Garamond"/>
          <w:sz w:val="26"/>
          <w:szCs w:val="26"/>
          <w:lang w:val="en-US"/>
        </w:rPr>
        <w:t xml:space="preserve">in accordance with Section 141 (f) of the Delaware General Corporation Law </w:t>
      </w:r>
      <w:r w:rsidRPr="000E3B87">
        <w:rPr>
          <w:rFonts w:ascii="Garamond" w:hAnsi="Garamond"/>
          <w:sz w:val="26"/>
          <w:szCs w:val="26"/>
          <w:lang w:val="en-US"/>
        </w:rPr>
        <w:t>(March 12, 2014)</w:t>
      </w:r>
    </w:p>
    <w:p w:rsidR="00145D58" w:rsidRDefault="00145D58" w:rsidP="00145D58">
      <w:pPr>
        <w:pStyle w:val="ListParagraph"/>
        <w:numPr>
          <w:ilvl w:val="0"/>
          <w:numId w:val="26"/>
        </w:numPr>
        <w:rPr>
          <w:rFonts w:ascii="Garamond" w:hAnsi="Garamond"/>
          <w:sz w:val="26"/>
          <w:szCs w:val="26"/>
          <w:lang w:val="en-US"/>
        </w:rPr>
      </w:pPr>
      <w:r w:rsidRPr="00145D58">
        <w:rPr>
          <w:rFonts w:ascii="Garamond" w:hAnsi="Garamond"/>
          <w:sz w:val="26"/>
          <w:szCs w:val="26"/>
          <w:lang w:val="en-US"/>
        </w:rPr>
        <w:t>Amendment</w:t>
      </w:r>
      <w:r>
        <w:rPr>
          <w:rFonts w:ascii="Garamond" w:hAnsi="Garamond"/>
          <w:sz w:val="26"/>
          <w:szCs w:val="26"/>
          <w:lang w:val="en-US"/>
        </w:rPr>
        <w:t xml:space="preserve"> of the</w:t>
      </w:r>
      <w:r w:rsidRPr="00145D58">
        <w:rPr>
          <w:lang w:val="en-US"/>
        </w:rPr>
        <w:t xml:space="preserve"> </w:t>
      </w:r>
      <w:r w:rsidRPr="00145D58">
        <w:rPr>
          <w:rFonts w:ascii="Garamond" w:hAnsi="Garamond"/>
          <w:sz w:val="26"/>
          <w:szCs w:val="26"/>
          <w:lang w:val="en-US"/>
        </w:rPr>
        <w:t>Certificate of Incorporation of PIARCS, PBC, as a Delaware Public Ben</w:t>
      </w:r>
      <w:r>
        <w:rPr>
          <w:rFonts w:ascii="Garamond" w:hAnsi="Garamond"/>
          <w:sz w:val="26"/>
          <w:szCs w:val="26"/>
          <w:lang w:val="en-US"/>
        </w:rPr>
        <w:t>efit Corporation (filed August 20</w:t>
      </w:r>
      <w:r w:rsidRPr="00145D58">
        <w:rPr>
          <w:rFonts w:ascii="Garamond" w:hAnsi="Garamond"/>
          <w:sz w:val="26"/>
          <w:szCs w:val="26"/>
          <w:lang w:val="en-US"/>
        </w:rPr>
        <w:t xml:space="preserve"> 2014)</w:t>
      </w:r>
    </w:p>
    <w:p w:rsidR="00A136A3" w:rsidRPr="00A136A3" w:rsidRDefault="00A136A3" w:rsidP="00A136A3">
      <w:pPr>
        <w:numPr>
          <w:ilvl w:val="0"/>
          <w:numId w:val="26"/>
        </w:numPr>
        <w:rPr>
          <w:rFonts w:ascii="Garamond" w:hAnsi="Garamond"/>
          <w:sz w:val="26"/>
          <w:szCs w:val="26"/>
          <w:lang w:val="en-US"/>
        </w:rPr>
      </w:pPr>
      <w:r>
        <w:rPr>
          <w:rFonts w:ascii="Garamond" w:hAnsi="Garamond"/>
          <w:sz w:val="26"/>
          <w:szCs w:val="26"/>
          <w:lang w:val="en-US"/>
        </w:rPr>
        <w:t>Joint Written Consent for the issuance of additional stocks (</w:t>
      </w:r>
      <w:r w:rsidRPr="00A136A3">
        <w:rPr>
          <w:rFonts w:ascii="Garamond" w:hAnsi="Garamond"/>
          <w:sz w:val="26"/>
          <w:szCs w:val="26"/>
          <w:lang w:val="en-US"/>
        </w:rPr>
        <w:t>August 20 2014</w:t>
      </w:r>
      <w:r>
        <w:rPr>
          <w:rFonts w:ascii="Garamond" w:hAnsi="Garamond"/>
          <w:sz w:val="26"/>
          <w:szCs w:val="26"/>
          <w:lang w:val="en-US"/>
        </w:rPr>
        <w:t>)</w:t>
      </w:r>
    </w:p>
    <w:p w:rsidR="00A136A3" w:rsidRPr="00A136A3" w:rsidRDefault="00A136A3" w:rsidP="00A136A3">
      <w:pPr>
        <w:numPr>
          <w:ilvl w:val="0"/>
          <w:numId w:val="26"/>
        </w:numPr>
        <w:contextualSpacing/>
        <w:rPr>
          <w:rFonts w:ascii="Garamond" w:hAnsi="Garamond"/>
          <w:sz w:val="26"/>
          <w:szCs w:val="26"/>
          <w:lang w:val="en-US"/>
        </w:rPr>
      </w:pPr>
      <w:r w:rsidRPr="00A136A3">
        <w:rPr>
          <w:rFonts w:ascii="Garamond" w:hAnsi="Garamond"/>
          <w:sz w:val="26"/>
          <w:szCs w:val="26"/>
          <w:lang w:val="en-US"/>
        </w:rPr>
        <w:t>Amendment of the</w:t>
      </w:r>
      <w:r w:rsidRPr="00A136A3">
        <w:rPr>
          <w:lang w:val="en-US"/>
        </w:rPr>
        <w:t xml:space="preserve"> </w:t>
      </w:r>
      <w:r w:rsidRPr="00A136A3">
        <w:rPr>
          <w:rFonts w:ascii="Garamond" w:hAnsi="Garamond"/>
          <w:sz w:val="26"/>
          <w:szCs w:val="26"/>
          <w:lang w:val="en-US"/>
        </w:rPr>
        <w:t>Certificate of Incorporation of PIARCS, PBC, as a Delaware Public Benefit Corporation (filed August 20 2014)</w:t>
      </w:r>
    </w:p>
    <w:p w:rsidR="00A136A3" w:rsidRDefault="00A136A3" w:rsidP="00A136A3">
      <w:pPr>
        <w:pStyle w:val="ListParagraph"/>
        <w:rPr>
          <w:rFonts w:ascii="Garamond" w:hAnsi="Garamond"/>
          <w:sz w:val="26"/>
          <w:szCs w:val="26"/>
          <w:lang w:val="en-US"/>
        </w:rPr>
      </w:pPr>
    </w:p>
    <w:p w:rsidR="008923F8" w:rsidRDefault="008923F8" w:rsidP="00A136A3">
      <w:pPr>
        <w:pStyle w:val="ListParagraph"/>
        <w:rPr>
          <w:rFonts w:ascii="Garamond" w:hAnsi="Garamond"/>
          <w:sz w:val="26"/>
          <w:szCs w:val="26"/>
          <w:lang w:val="en-US"/>
        </w:rPr>
      </w:pPr>
    </w:p>
    <w:p w:rsidR="008923F8" w:rsidRDefault="008923F8" w:rsidP="00A136A3">
      <w:pPr>
        <w:pStyle w:val="ListParagraph"/>
        <w:rPr>
          <w:rFonts w:ascii="Garamond" w:hAnsi="Garamond"/>
          <w:sz w:val="26"/>
          <w:szCs w:val="26"/>
          <w:lang w:val="en-US"/>
        </w:rPr>
      </w:pPr>
    </w:p>
    <w:p w:rsidR="00145D58" w:rsidRPr="00145D58" w:rsidRDefault="00145D58" w:rsidP="00145D58">
      <w:pPr>
        <w:rPr>
          <w:rFonts w:ascii="Garamond" w:hAnsi="Garamond"/>
          <w:sz w:val="26"/>
          <w:szCs w:val="26"/>
          <w:lang w:val="en-US"/>
        </w:rPr>
      </w:pPr>
      <w:r>
        <w:rPr>
          <w:rFonts w:ascii="Garamond" w:hAnsi="Garamond"/>
          <w:sz w:val="26"/>
          <w:szCs w:val="26"/>
          <w:lang w:val="en-US"/>
        </w:rPr>
        <w:t>The following documents are available upon request:</w:t>
      </w:r>
    </w:p>
    <w:p w:rsidR="00460CD2" w:rsidRPr="000E3B87" w:rsidRDefault="00460CD2" w:rsidP="000E3B87">
      <w:pPr>
        <w:pStyle w:val="ListParagraph"/>
        <w:numPr>
          <w:ilvl w:val="0"/>
          <w:numId w:val="26"/>
        </w:numPr>
        <w:contextualSpacing w:val="0"/>
        <w:rPr>
          <w:rFonts w:ascii="Garamond" w:hAnsi="Garamond"/>
          <w:sz w:val="26"/>
          <w:szCs w:val="26"/>
          <w:lang w:val="en-US"/>
        </w:rPr>
      </w:pPr>
      <w:r w:rsidRPr="000E3B87">
        <w:rPr>
          <w:rFonts w:ascii="Garamond" w:hAnsi="Garamond"/>
          <w:sz w:val="26"/>
          <w:szCs w:val="26"/>
          <w:lang w:val="en-US"/>
        </w:rPr>
        <w:t>PIARC</w:t>
      </w:r>
      <w:r w:rsidR="00B91C43" w:rsidRPr="000E3B87">
        <w:rPr>
          <w:rFonts w:ascii="Garamond" w:hAnsi="Garamond"/>
          <w:sz w:val="26"/>
          <w:szCs w:val="26"/>
          <w:lang w:val="en-US"/>
        </w:rPr>
        <w:t>S, PBC IRS Form SS-4, Federal Employer Identification Number (March 25</w:t>
      </w:r>
      <w:r w:rsidRPr="000E3B87">
        <w:rPr>
          <w:rFonts w:ascii="Garamond" w:hAnsi="Garamond"/>
          <w:sz w:val="26"/>
          <w:szCs w:val="26"/>
          <w:lang w:val="en-US"/>
        </w:rPr>
        <w:t xml:space="preserve">, 2014) </w:t>
      </w:r>
    </w:p>
    <w:p w:rsidR="00976C98" w:rsidRPr="000E3B87" w:rsidRDefault="00F55951" w:rsidP="000E3B87">
      <w:pPr>
        <w:pStyle w:val="ListParagraph"/>
        <w:numPr>
          <w:ilvl w:val="0"/>
          <w:numId w:val="26"/>
        </w:numPr>
        <w:contextualSpacing w:val="0"/>
        <w:rPr>
          <w:rFonts w:ascii="Garamond" w:hAnsi="Garamond"/>
          <w:sz w:val="26"/>
          <w:szCs w:val="26"/>
          <w:lang w:val="en-US"/>
        </w:rPr>
      </w:pPr>
      <w:r w:rsidRPr="000E3B87">
        <w:rPr>
          <w:rFonts w:ascii="Garamond" w:hAnsi="Garamond"/>
          <w:sz w:val="26"/>
          <w:szCs w:val="26"/>
          <w:lang w:val="en-US"/>
        </w:rPr>
        <w:t>PIARCS, PBC non-disclosure agreement</w:t>
      </w:r>
    </w:p>
    <w:p w:rsidR="00F55951" w:rsidRDefault="00F55951" w:rsidP="000E3B87">
      <w:pPr>
        <w:pStyle w:val="ListParagraph"/>
        <w:numPr>
          <w:ilvl w:val="0"/>
          <w:numId w:val="26"/>
        </w:numPr>
        <w:contextualSpacing w:val="0"/>
        <w:rPr>
          <w:rFonts w:ascii="Garamond" w:hAnsi="Garamond"/>
          <w:sz w:val="26"/>
          <w:szCs w:val="26"/>
          <w:lang w:val="en-US"/>
        </w:rPr>
      </w:pPr>
      <w:r w:rsidRPr="000E3B87">
        <w:rPr>
          <w:rFonts w:ascii="Garamond" w:hAnsi="Garamond"/>
          <w:sz w:val="26"/>
          <w:szCs w:val="26"/>
          <w:lang w:val="en-US"/>
        </w:rPr>
        <w:t>PIARCS, PBC independent contractor services agreement</w:t>
      </w:r>
    </w:p>
    <w:p w:rsidR="00145D58" w:rsidRDefault="00145D58" w:rsidP="00145D58">
      <w:pPr>
        <w:pStyle w:val="ListParagraph"/>
        <w:numPr>
          <w:ilvl w:val="0"/>
          <w:numId w:val="26"/>
        </w:numPr>
        <w:contextualSpacing w:val="0"/>
        <w:rPr>
          <w:rFonts w:ascii="Garamond" w:hAnsi="Garamond"/>
          <w:sz w:val="26"/>
          <w:szCs w:val="26"/>
          <w:lang w:val="en-US"/>
        </w:rPr>
      </w:pPr>
      <w:r>
        <w:rPr>
          <w:rFonts w:ascii="Garamond" w:hAnsi="Garamond"/>
          <w:sz w:val="26"/>
          <w:szCs w:val="26"/>
          <w:lang w:val="en-US"/>
        </w:rPr>
        <w:t xml:space="preserve">Colorado State </w:t>
      </w:r>
      <w:r w:rsidRPr="00145D58">
        <w:rPr>
          <w:rFonts w:ascii="Garamond" w:hAnsi="Garamond"/>
          <w:sz w:val="26"/>
          <w:szCs w:val="26"/>
          <w:lang w:val="en-US"/>
        </w:rPr>
        <w:t>Statement of Foreign Entity Authority</w:t>
      </w:r>
      <w:r>
        <w:rPr>
          <w:rFonts w:ascii="Garamond" w:hAnsi="Garamond"/>
          <w:sz w:val="26"/>
          <w:szCs w:val="26"/>
          <w:lang w:val="en-US"/>
        </w:rPr>
        <w:t xml:space="preserve"> – to conduct business in the state of Colorado (filed August 19 2014)</w:t>
      </w:r>
    </w:p>
    <w:p w:rsidR="00C9379A" w:rsidRDefault="00C9379A" w:rsidP="00145D58">
      <w:pPr>
        <w:pStyle w:val="ListParagraph"/>
        <w:numPr>
          <w:ilvl w:val="0"/>
          <w:numId w:val="26"/>
        </w:numPr>
        <w:contextualSpacing w:val="0"/>
        <w:rPr>
          <w:rFonts w:ascii="Garamond" w:hAnsi="Garamond"/>
          <w:sz w:val="26"/>
          <w:szCs w:val="26"/>
          <w:lang w:val="en-US"/>
        </w:rPr>
      </w:pPr>
      <w:r>
        <w:rPr>
          <w:rFonts w:ascii="Garamond" w:hAnsi="Garamond"/>
          <w:sz w:val="26"/>
          <w:szCs w:val="26"/>
          <w:lang w:val="en-US"/>
        </w:rPr>
        <w:t>Lease for the lab-space at the University of Colorado Biofrontiers building (</w:t>
      </w:r>
      <w:r w:rsidR="0015111B">
        <w:rPr>
          <w:rFonts w:ascii="Garamond" w:hAnsi="Garamond"/>
          <w:sz w:val="26"/>
          <w:szCs w:val="26"/>
          <w:lang w:val="en-US"/>
        </w:rPr>
        <w:t xml:space="preserve">lease </w:t>
      </w:r>
      <w:r>
        <w:rPr>
          <w:rFonts w:ascii="Garamond" w:hAnsi="Garamond"/>
          <w:sz w:val="26"/>
          <w:szCs w:val="26"/>
          <w:lang w:val="en-US"/>
        </w:rPr>
        <w:t xml:space="preserve">start </w:t>
      </w:r>
      <w:r w:rsidR="0015111B">
        <w:rPr>
          <w:rFonts w:ascii="Garamond" w:hAnsi="Garamond"/>
          <w:sz w:val="26"/>
          <w:szCs w:val="26"/>
          <w:lang w:val="en-US"/>
        </w:rPr>
        <w:t xml:space="preserve">date: </w:t>
      </w:r>
      <w:r>
        <w:rPr>
          <w:rFonts w:ascii="Garamond" w:hAnsi="Garamond"/>
          <w:sz w:val="26"/>
          <w:szCs w:val="26"/>
          <w:lang w:val="en-US"/>
        </w:rPr>
        <w:t>August 15, 2014)</w:t>
      </w:r>
    </w:p>
    <w:p w:rsidR="00C9379A" w:rsidRPr="000E3B87" w:rsidRDefault="00C9379A" w:rsidP="00145D58">
      <w:pPr>
        <w:pStyle w:val="ListParagraph"/>
        <w:numPr>
          <w:ilvl w:val="0"/>
          <w:numId w:val="26"/>
        </w:numPr>
        <w:contextualSpacing w:val="0"/>
        <w:rPr>
          <w:rFonts w:ascii="Garamond" w:hAnsi="Garamond"/>
          <w:sz w:val="26"/>
          <w:szCs w:val="26"/>
          <w:lang w:val="en-US"/>
        </w:rPr>
      </w:pPr>
      <w:r>
        <w:rPr>
          <w:rFonts w:ascii="Garamond" w:hAnsi="Garamond"/>
          <w:sz w:val="26"/>
          <w:szCs w:val="26"/>
          <w:lang w:val="en-US"/>
        </w:rPr>
        <w:t>First invoice for the lab-space lease</w:t>
      </w:r>
      <w:r w:rsidR="0015111B">
        <w:rPr>
          <w:rFonts w:ascii="Garamond" w:hAnsi="Garamond"/>
          <w:sz w:val="26"/>
          <w:szCs w:val="26"/>
          <w:lang w:val="en-US"/>
        </w:rPr>
        <w:t xml:space="preserve"> (August-September 2014)</w:t>
      </w:r>
    </w:p>
    <w:p w:rsidR="004A6B23" w:rsidRPr="00FE5480" w:rsidRDefault="004A6B23" w:rsidP="004A6B23">
      <w:pPr>
        <w:rPr>
          <w:rFonts w:asciiTheme="majorHAnsi" w:hAnsiTheme="majorHAnsi"/>
          <w:lang w:val="en-US"/>
        </w:rPr>
      </w:pPr>
    </w:p>
    <w:p w:rsidR="004A6B23" w:rsidRPr="00FE5480" w:rsidRDefault="004A6B23" w:rsidP="004A6B23">
      <w:pPr>
        <w:keepNext/>
        <w:keepLines/>
        <w:spacing w:before="40" w:after="0"/>
        <w:outlineLvl w:val="1"/>
        <w:rPr>
          <w:rFonts w:asciiTheme="majorHAnsi" w:eastAsiaTheme="majorEastAsia" w:hAnsiTheme="majorHAnsi" w:cstheme="majorBidi"/>
          <w:b/>
          <w:color w:val="149346"/>
          <w:sz w:val="26"/>
          <w:szCs w:val="26"/>
          <w:lang w:val="en-US"/>
        </w:rPr>
      </w:pPr>
      <w:bookmarkStart w:id="34" w:name="_Toc403474349"/>
      <w:r>
        <w:rPr>
          <w:rFonts w:asciiTheme="majorHAnsi" w:eastAsiaTheme="majorEastAsia" w:hAnsiTheme="majorHAnsi" w:cstheme="majorBidi"/>
          <w:b/>
          <w:color w:val="149346"/>
          <w:sz w:val="26"/>
          <w:szCs w:val="26"/>
          <w:lang w:val="en-US"/>
        </w:rPr>
        <w:t xml:space="preserve">C </w:t>
      </w:r>
      <w:r w:rsidRPr="00FE5480">
        <w:rPr>
          <w:rFonts w:asciiTheme="majorHAnsi" w:eastAsiaTheme="majorEastAsia" w:hAnsiTheme="majorHAnsi" w:cstheme="majorBidi"/>
          <w:b/>
          <w:color w:val="149346"/>
          <w:sz w:val="26"/>
          <w:szCs w:val="26"/>
          <w:lang w:val="en-US"/>
        </w:rPr>
        <w:t xml:space="preserve">– </w:t>
      </w:r>
      <w:r>
        <w:rPr>
          <w:rFonts w:asciiTheme="majorHAnsi" w:eastAsiaTheme="majorEastAsia" w:hAnsiTheme="majorHAnsi" w:cstheme="majorBidi"/>
          <w:b/>
          <w:color w:val="149346"/>
          <w:sz w:val="26"/>
          <w:szCs w:val="26"/>
          <w:lang w:val="en-US"/>
        </w:rPr>
        <w:t>Guidelines to implement dividend projections</w:t>
      </w:r>
      <w:bookmarkEnd w:id="34"/>
    </w:p>
    <w:p w:rsidR="004A6B23" w:rsidRDefault="004A6B23" w:rsidP="004A6B23">
      <w:pPr>
        <w:rPr>
          <w:lang w:val="en-US"/>
        </w:rPr>
      </w:pPr>
    </w:p>
    <w:p w:rsidR="005679C3" w:rsidRDefault="005679C3" w:rsidP="004A6B23">
      <w:pPr>
        <w:pStyle w:val="ListParagraph"/>
        <w:ind w:left="0"/>
        <w:contextualSpacing w:val="0"/>
        <w:rPr>
          <w:rFonts w:ascii="Garamond" w:hAnsi="Garamond"/>
          <w:sz w:val="26"/>
          <w:szCs w:val="26"/>
          <w:lang w:val="en-US"/>
        </w:rPr>
      </w:pPr>
      <w:r>
        <w:rPr>
          <w:rFonts w:ascii="Garamond" w:hAnsi="Garamond"/>
          <w:sz w:val="26"/>
          <w:szCs w:val="26"/>
          <w:lang w:val="en-US"/>
        </w:rPr>
        <w:t>The following guidelines are provided to explicate the implementation of the COI dividend function to the provided Financial Projections (Excel spreadsheet): see the “</w:t>
      </w:r>
      <w:r w:rsidRPr="005679C3">
        <w:rPr>
          <w:rFonts w:ascii="Garamond" w:hAnsi="Garamond"/>
          <w:sz w:val="26"/>
          <w:szCs w:val="26"/>
          <w:lang w:val="en-US"/>
        </w:rPr>
        <w:t>RoC PIARCS financial projections &amp; use of funds</w:t>
      </w:r>
      <w:r>
        <w:rPr>
          <w:rFonts w:ascii="Garamond" w:hAnsi="Garamond"/>
          <w:sz w:val="26"/>
          <w:szCs w:val="26"/>
          <w:lang w:val="en-US"/>
        </w:rPr>
        <w:t>.xls”, worksheet “Financial Projections”.</w:t>
      </w:r>
    </w:p>
    <w:p w:rsidR="005679C3" w:rsidRPr="005679C3" w:rsidRDefault="005679C3" w:rsidP="005679C3">
      <w:pPr>
        <w:pStyle w:val="ListParagraph"/>
        <w:rPr>
          <w:rFonts w:ascii="Garamond" w:hAnsi="Garamond"/>
          <w:sz w:val="26"/>
          <w:szCs w:val="26"/>
          <w:lang w:val="en-US"/>
        </w:rPr>
      </w:pPr>
    </w:p>
    <w:p w:rsidR="004B3A9F" w:rsidRPr="004B3A9F" w:rsidRDefault="004B3A9F" w:rsidP="004B3A9F">
      <w:pPr>
        <w:spacing w:after="0"/>
        <w:rPr>
          <w:rFonts w:ascii="Garamond" w:eastAsia="Calibri" w:hAnsi="Garamond" w:cs="Times New Roman"/>
          <w:sz w:val="24"/>
          <w:szCs w:val="24"/>
          <w:lang w:val="en-US"/>
        </w:rPr>
      </w:pPr>
      <w:r w:rsidRPr="004B3A9F">
        <w:rPr>
          <w:rFonts w:ascii="Garamond" w:eastAsia="Calibri" w:hAnsi="Garamond" w:cs="Times New Roman"/>
          <w:sz w:val="24"/>
          <w:szCs w:val="24"/>
          <w:lang w:val="en-US"/>
        </w:rPr>
        <w:t>Using the 20% for $M 0.</w:t>
      </w:r>
      <w:r w:rsidR="001C2CCA">
        <w:rPr>
          <w:rFonts w:ascii="Garamond" w:eastAsia="Calibri" w:hAnsi="Garamond" w:cs="Times New Roman"/>
          <w:sz w:val="24"/>
          <w:szCs w:val="24"/>
          <w:lang w:val="en-US"/>
        </w:rPr>
        <w:t>5</w:t>
      </w:r>
      <w:r w:rsidRPr="004B3A9F">
        <w:rPr>
          <w:rFonts w:ascii="Garamond" w:eastAsia="Calibri" w:hAnsi="Garamond" w:cs="Times New Roman"/>
          <w:sz w:val="24"/>
          <w:szCs w:val="24"/>
          <w:lang w:val="en-US"/>
        </w:rPr>
        <w:t xml:space="preserve"> as a reference, </w:t>
      </w:r>
      <w:r w:rsidRPr="004B3A9F">
        <w:rPr>
          <w:rFonts w:ascii="Garamond" w:eastAsia="Calibri" w:hAnsi="Garamond" w:cs="Times New Roman"/>
          <w:sz w:val="24"/>
          <w:szCs w:val="24"/>
          <w:u w:val="single"/>
          <w:lang w:val="en-US"/>
        </w:rPr>
        <w:t>with</w:t>
      </w:r>
      <w:r w:rsidRPr="004B3A9F">
        <w:rPr>
          <w:rFonts w:ascii="Garamond" w:eastAsia="Calibri" w:hAnsi="Garamond" w:cs="Times New Roman"/>
          <w:sz w:val="24"/>
          <w:szCs w:val="24"/>
          <w:lang w:val="en-US"/>
        </w:rPr>
        <w:t xml:space="preserve"> the use of the number of shares.</w:t>
      </w:r>
    </w:p>
    <w:p w:rsidR="004B3A9F" w:rsidRPr="004B3A9F" w:rsidRDefault="004B3A9F" w:rsidP="004B3A9F">
      <w:pPr>
        <w:spacing w:after="0"/>
        <w:rPr>
          <w:rFonts w:ascii="Garamond" w:eastAsia="Calibri" w:hAnsi="Garamond" w:cs="Times New Roman"/>
          <w:sz w:val="24"/>
          <w:szCs w:val="24"/>
          <w:lang w:val="en-US"/>
        </w:rPr>
      </w:pPr>
    </w:p>
    <w:p w:rsidR="004B3A9F" w:rsidRPr="004B3A9F" w:rsidRDefault="004B3A9F" w:rsidP="004B3A9F">
      <w:pPr>
        <w:numPr>
          <w:ilvl w:val="0"/>
          <w:numId w:val="33"/>
        </w:numPr>
        <w:spacing w:after="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Determination of the market size from licensing prices</w:t>
      </w:r>
    </w:p>
    <w:p w:rsidR="004B3A9F" w:rsidRPr="004B3A9F" w:rsidRDefault="004B3A9F" w:rsidP="004B3A9F">
      <w:pPr>
        <w:numPr>
          <w:ilvl w:val="0"/>
          <w:numId w:val="33"/>
        </w:numPr>
        <w:spacing w:after="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Arbitrary determination of market share, with a yearly doubling of the share.  Note that the dynamics will likely differ, but this ‘doubling’ allows to detail the various phases of dividends.</w:t>
      </w:r>
    </w:p>
    <w:p w:rsidR="004B3A9F" w:rsidRPr="004B3A9F" w:rsidRDefault="004B3A9F" w:rsidP="004B3A9F">
      <w:pPr>
        <w:numPr>
          <w:ilvl w:val="0"/>
          <w:numId w:val="33"/>
        </w:numPr>
        <w:spacing w:after="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Arbitrary determination of the operating costs (minimal operating costs to support essential R&amp;D, tech support and marketing activity)</w:t>
      </w:r>
    </w:p>
    <w:p w:rsidR="004B3A9F" w:rsidRPr="004B3A9F" w:rsidRDefault="004B3A9F" w:rsidP="004B3A9F">
      <w:pPr>
        <w:numPr>
          <w:ilvl w:val="0"/>
          <w:numId w:val="33"/>
        </w:numPr>
        <w:spacing w:after="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The above elements determine the ANI (annual net income) for the corporation</w:t>
      </w:r>
    </w:p>
    <w:p w:rsidR="004B3A9F" w:rsidRPr="004B3A9F" w:rsidRDefault="004B3A9F" w:rsidP="004B3A9F">
      <w:pPr>
        <w:spacing w:after="0"/>
        <w:ind w:left="720"/>
        <w:contextualSpacing/>
        <w:rPr>
          <w:rFonts w:ascii="Garamond" w:eastAsia="Calibri" w:hAnsi="Garamond" w:cs="Times New Roman"/>
          <w:sz w:val="24"/>
          <w:szCs w:val="24"/>
          <w:lang w:val="en-US"/>
        </w:rPr>
      </w:pPr>
    </w:p>
    <w:p w:rsidR="004B3A9F" w:rsidRPr="004B3A9F" w:rsidRDefault="004B3A9F" w:rsidP="004B3A9F">
      <w:pPr>
        <w:numPr>
          <w:ilvl w:val="0"/>
          <w:numId w:val="33"/>
        </w:numPr>
        <w:spacing w:after="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The initial Floating Threshold from cells L14, L15 is defined as:</w:t>
      </w:r>
    </w:p>
    <w:p w:rsidR="004B3A9F" w:rsidRPr="004B3A9F" w:rsidRDefault="004B3A9F" w:rsidP="004B3A9F">
      <w:pPr>
        <w:spacing w:after="0"/>
        <w:ind w:left="72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w:t>
      </w:r>
      <w:r w:rsidR="001C2CCA">
        <w:rPr>
          <w:rFonts w:ascii="Garamond" w:eastAsia="Calibri" w:hAnsi="Garamond" w:cs="Times New Roman"/>
          <w:sz w:val="24"/>
          <w:szCs w:val="24"/>
          <w:lang w:val="en-US"/>
        </w:rPr>
        <w:t>2.5</w:t>
      </w:r>
      <w:r w:rsidRPr="004B3A9F">
        <w:rPr>
          <w:rFonts w:ascii="Garamond" w:eastAsia="Calibri" w:hAnsi="Garamond" w:cs="Times New Roman"/>
          <w:sz w:val="24"/>
          <w:szCs w:val="24"/>
          <w:lang w:val="en-US"/>
        </w:rPr>
        <w:t>M * TSP</w:t>
      </w:r>
      <w:r w:rsidRPr="004B3A9F">
        <w:rPr>
          <w:rFonts w:ascii="Garamond" w:eastAsia="Calibri" w:hAnsi="Garamond" w:cs="Times New Roman"/>
          <w:sz w:val="24"/>
          <w:szCs w:val="24"/>
          <w:vertAlign w:val="subscript"/>
          <w:lang w:val="en-US"/>
        </w:rPr>
        <w:t>A</w:t>
      </w:r>
      <w:r w:rsidRPr="004B3A9F">
        <w:rPr>
          <w:rFonts w:ascii="Garamond" w:eastAsia="Calibri" w:hAnsi="Garamond" w:cs="Times New Roman"/>
          <w:sz w:val="24"/>
          <w:szCs w:val="24"/>
          <w:lang w:val="en-US"/>
        </w:rPr>
        <w:t xml:space="preserve"> / total#shares</w:t>
      </w:r>
    </w:p>
    <w:p w:rsidR="004B3A9F" w:rsidRPr="004B3A9F" w:rsidRDefault="004B3A9F" w:rsidP="004B3A9F">
      <w:pPr>
        <w:spacing w:after="0"/>
        <w:ind w:left="72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Cells input: =R$1*(P$3)/P$5</w:t>
      </w:r>
    </w:p>
    <w:p w:rsidR="004B3A9F" w:rsidRPr="004B3A9F" w:rsidRDefault="004B3A9F" w:rsidP="004B3A9F">
      <w:pPr>
        <w:spacing w:after="0"/>
        <w:ind w:left="72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Note that the $</w:t>
      </w:r>
      <w:r w:rsidR="001C2CCA">
        <w:rPr>
          <w:rFonts w:ascii="Garamond" w:eastAsia="Calibri" w:hAnsi="Garamond" w:cs="Times New Roman"/>
          <w:sz w:val="24"/>
          <w:szCs w:val="24"/>
          <w:lang w:val="en-US"/>
        </w:rPr>
        <w:t>2.5</w:t>
      </w:r>
      <w:r w:rsidRPr="004B3A9F">
        <w:rPr>
          <w:rFonts w:ascii="Garamond" w:eastAsia="Calibri" w:hAnsi="Garamond" w:cs="Times New Roman"/>
          <w:sz w:val="24"/>
          <w:szCs w:val="24"/>
          <w:lang w:val="en-US"/>
        </w:rPr>
        <w:t>M in R$1 value is an arbitrary value to reflect market expansion dynamics.</w:t>
      </w:r>
    </w:p>
    <w:p w:rsidR="004B3A9F" w:rsidRPr="004B3A9F" w:rsidRDefault="004B3A9F" w:rsidP="004B3A9F">
      <w:pPr>
        <w:spacing w:after="0"/>
        <w:ind w:left="72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The initial % shares accruing dividends cells N14, N15 is:</w:t>
      </w:r>
    </w:p>
    <w:p w:rsidR="004B3A9F" w:rsidRPr="004B3A9F" w:rsidRDefault="004B3A9F" w:rsidP="004B3A9F">
      <w:pPr>
        <w:spacing w:after="0"/>
        <w:ind w:left="72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=100*(P$3)/P$5</w:t>
      </w:r>
    </w:p>
    <w:p w:rsidR="004B3A9F" w:rsidRPr="004B3A9F" w:rsidRDefault="004B3A9F" w:rsidP="004B3A9F">
      <w:pPr>
        <w:spacing w:after="0"/>
        <w:ind w:left="72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Where P$5 is the total number of shares, P$3 is the number of series A Preferred shares.</w:t>
      </w:r>
    </w:p>
    <w:p w:rsidR="004B3A9F" w:rsidRPr="004B3A9F" w:rsidRDefault="004B3A9F" w:rsidP="004B3A9F">
      <w:pPr>
        <w:numPr>
          <w:ilvl w:val="0"/>
          <w:numId w:val="33"/>
        </w:numPr>
        <w:spacing w:after="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The % of dividend-accruing shares needs to be calculated using the Floating Threshold from the previous year, otherwise there is a circular reference.  Cells L14 and L15, the floating threshold is equal to the initial investment.</w:t>
      </w:r>
    </w:p>
    <w:p w:rsidR="004B3A9F" w:rsidRPr="004B3A9F" w:rsidRDefault="004B3A9F" w:rsidP="004B3A9F">
      <w:pPr>
        <w:numPr>
          <w:ilvl w:val="0"/>
          <w:numId w:val="33"/>
        </w:numPr>
        <w:spacing w:after="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 xml:space="preserve">Cell M16 input K16/L15 to determine the (ANI current year)/(FT of previous year).  </w:t>
      </w:r>
    </w:p>
    <w:p w:rsidR="004B3A9F" w:rsidRPr="004B3A9F" w:rsidRDefault="004B3A9F" w:rsidP="004B3A9F">
      <w:pPr>
        <w:numPr>
          <w:ilvl w:val="0"/>
          <w:numId w:val="33"/>
        </w:numPr>
        <w:spacing w:after="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Cell N16 input before nesting the max 100% rule</w:t>
      </w:r>
    </w:p>
    <w:p w:rsidR="004B3A9F" w:rsidRPr="004B3A9F" w:rsidRDefault="004B3A9F" w:rsidP="004B3A9F">
      <w:pPr>
        <w:spacing w:after="0"/>
        <w:ind w:left="72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IF(AND(R15&gt;1,M16&gt;=4),N15</w:t>
      </w:r>
      <w:r w:rsidRPr="004B3A9F">
        <w:rPr>
          <w:rFonts w:ascii="Garamond" w:eastAsia="Calibri" w:hAnsi="Garamond" w:cs="Times New Roman"/>
          <w:color w:val="7030A0"/>
          <w:sz w:val="24"/>
          <w:szCs w:val="24"/>
          <w:lang w:val="en-US"/>
        </w:rPr>
        <w:t>+8</w:t>
      </w:r>
      <w:r w:rsidRPr="004B3A9F">
        <w:rPr>
          <w:rFonts w:ascii="Garamond" w:eastAsia="Calibri" w:hAnsi="Garamond" w:cs="Times New Roman"/>
          <w:sz w:val="24"/>
          <w:szCs w:val="24"/>
          <w:lang w:val="en-US"/>
        </w:rPr>
        <w:t>,IF(AND(R15&gt;1,M16&lt;4,M16&gt;=1),N15</w:t>
      </w:r>
      <w:r w:rsidRPr="004B3A9F">
        <w:rPr>
          <w:rFonts w:ascii="Garamond" w:eastAsia="Calibri" w:hAnsi="Garamond" w:cs="Times New Roman"/>
          <w:color w:val="7030A0"/>
          <w:sz w:val="24"/>
          <w:szCs w:val="24"/>
          <w:lang w:val="en-US"/>
        </w:rPr>
        <w:t>+2</w:t>
      </w:r>
      <w:r w:rsidRPr="004B3A9F">
        <w:rPr>
          <w:rFonts w:ascii="Garamond" w:eastAsia="Calibri" w:hAnsi="Garamond" w:cs="Times New Roman"/>
          <w:sz w:val="24"/>
          <w:szCs w:val="24"/>
          <w:lang w:val="en-US"/>
        </w:rPr>
        <w:t>,N15</w:t>
      </w:r>
      <w:r w:rsidRPr="004B3A9F">
        <w:rPr>
          <w:rFonts w:ascii="Garamond" w:eastAsia="Calibri" w:hAnsi="Garamond" w:cs="Times New Roman"/>
          <w:color w:val="7030A0"/>
          <w:sz w:val="24"/>
          <w:szCs w:val="24"/>
          <w:lang w:val="en-US"/>
        </w:rPr>
        <w:t>+0</w:t>
      </w:r>
      <w:r w:rsidRPr="004B3A9F">
        <w:rPr>
          <w:rFonts w:ascii="Garamond" w:eastAsia="Calibri" w:hAnsi="Garamond" w:cs="Times New Roman"/>
          <w:sz w:val="24"/>
          <w:szCs w:val="24"/>
          <w:lang w:val="en-US"/>
        </w:rPr>
        <w:t>))</w:t>
      </w:r>
    </w:p>
    <w:p w:rsidR="004B3A9F" w:rsidRPr="004B3A9F" w:rsidRDefault="004B3A9F" w:rsidP="004B3A9F">
      <w:pPr>
        <w:spacing w:after="0"/>
        <w:ind w:left="135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R15&gt;1 ensures the capital return date at the previous year</w:t>
      </w:r>
    </w:p>
    <w:p w:rsidR="004B3A9F" w:rsidRPr="004B3A9F" w:rsidRDefault="004B3A9F" w:rsidP="004B3A9F">
      <w:pPr>
        <w:spacing w:after="0"/>
        <w:ind w:left="135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N15: dividend-accruing shares from the previous year</w:t>
      </w:r>
    </w:p>
    <w:p w:rsidR="004B3A9F" w:rsidRPr="004B3A9F" w:rsidRDefault="004B3A9F" w:rsidP="004B3A9F">
      <w:pPr>
        <w:spacing w:after="0"/>
        <w:ind w:left="72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 xml:space="preserve">Cell N16 input AFTER nesting the max 100% rule: </w:t>
      </w:r>
    </w:p>
    <w:p w:rsidR="004B3A9F" w:rsidRPr="004B3A9F" w:rsidRDefault="004B3A9F" w:rsidP="004B3A9F">
      <w:pPr>
        <w:spacing w:after="0"/>
        <w:ind w:left="72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 MIN(100, clause above), that is:</w:t>
      </w:r>
    </w:p>
    <w:p w:rsidR="004B3A9F" w:rsidRPr="004B3A9F" w:rsidRDefault="004B3A9F" w:rsidP="004B3A9F">
      <w:pPr>
        <w:spacing w:after="0"/>
        <w:ind w:left="72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Final N16 input:</w:t>
      </w:r>
    </w:p>
    <w:p w:rsidR="004B3A9F" w:rsidRPr="004B3A9F" w:rsidRDefault="004B3A9F" w:rsidP="004B3A9F">
      <w:pPr>
        <w:spacing w:after="0"/>
        <w:ind w:left="72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w:t>
      </w:r>
      <w:r w:rsidRPr="004B3A9F">
        <w:rPr>
          <w:rFonts w:ascii="Garamond" w:eastAsia="Calibri" w:hAnsi="Garamond" w:cs="Times New Roman"/>
          <w:lang w:val="en-US"/>
        </w:rPr>
        <w:t>MIN(100,IF(AND(R15&gt;1,M16&gt;=4),N15+8,IF(AND(R15&gt;1,M16&lt;4,M16&gt;=1),N15+2,N15+0)))</w:t>
      </w:r>
    </w:p>
    <w:p w:rsidR="004B3A9F" w:rsidRPr="004B3A9F" w:rsidRDefault="004B3A9F" w:rsidP="004B3A9F">
      <w:pPr>
        <w:spacing w:after="0"/>
        <w:ind w:left="72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Depending on the value of the ANI/(FT previous year), the dividend-accruing stocks are increased by 0%, 2% or 8%.</w:t>
      </w:r>
    </w:p>
    <w:p w:rsidR="004B3A9F" w:rsidRPr="004B3A9F" w:rsidRDefault="004B3A9F" w:rsidP="004B3A9F">
      <w:pPr>
        <w:spacing w:after="0"/>
        <w:ind w:left="720"/>
        <w:contextualSpacing/>
        <w:rPr>
          <w:rFonts w:ascii="Garamond" w:eastAsia="Calibri" w:hAnsi="Garamond" w:cs="Times New Roman"/>
          <w:sz w:val="24"/>
          <w:szCs w:val="24"/>
          <w:lang w:val="en-US"/>
        </w:rPr>
      </w:pPr>
    </w:p>
    <w:p w:rsidR="004B3A9F" w:rsidRPr="004B3A9F" w:rsidRDefault="004B3A9F" w:rsidP="004B3A9F">
      <w:pPr>
        <w:numPr>
          <w:ilvl w:val="0"/>
          <w:numId w:val="33"/>
        </w:numPr>
        <w:spacing w:after="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Rules for the dividend accrual are met in the cell P16</w:t>
      </w:r>
    </w:p>
    <w:p w:rsidR="004B3A9F" w:rsidRPr="004B3A9F" w:rsidRDefault="004B3A9F" w:rsidP="004B3A9F">
      <w:pPr>
        <w:spacing w:after="0"/>
        <w:ind w:left="72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Cell P16 input (total dividend in $M per year) before nesting the max dividend as 10*FT rule</w:t>
      </w:r>
    </w:p>
    <w:p w:rsidR="004B3A9F" w:rsidRPr="004B3A9F" w:rsidRDefault="004B3A9F" w:rsidP="004B3A9F">
      <w:pPr>
        <w:spacing w:after="0"/>
        <w:ind w:left="720"/>
        <w:contextualSpacing/>
        <w:rPr>
          <w:rFonts w:ascii="Garamond" w:eastAsia="Calibri" w:hAnsi="Garamond" w:cs="Times New Roman"/>
          <w:sz w:val="24"/>
          <w:szCs w:val="24"/>
          <w:lang w:val="en-US"/>
        </w:rPr>
      </w:pPr>
      <w:r w:rsidRPr="004B3A9F">
        <w:rPr>
          <w:rFonts w:ascii="Garamond" w:eastAsia="Calibri" w:hAnsi="Garamond" w:cs="Times New Roman"/>
          <w:sz w:val="20"/>
          <w:szCs w:val="20"/>
          <w:lang w:val="en-US"/>
        </w:rPr>
        <w:t>=</w:t>
      </w:r>
      <w:r w:rsidRPr="004B3A9F">
        <w:rPr>
          <w:rFonts w:ascii="Garamond" w:eastAsia="Calibri" w:hAnsi="Garamond" w:cs="Times New Roman"/>
          <w:lang w:val="en-US"/>
        </w:rPr>
        <w:t>IF(AND(R15&gt;1,M16&gt;=O16),0.9*L16+0.025*K16,IF((AND(R15&gt;1,M16&lt;4)),0.2*K16,0.25*K16))</w:t>
      </w:r>
    </w:p>
    <w:p w:rsidR="004B3A9F" w:rsidRPr="004B3A9F" w:rsidRDefault="004B3A9F" w:rsidP="004B3A9F">
      <w:pPr>
        <w:spacing w:after="0"/>
        <w:ind w:left="135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R15&gt;1 ensures the capital return date at the previous year</w:t>
      </w:r>
    </w:p>
    <w:p w:rsidR="004B3A9F" w:rsidRPr="004B3A9F" w:rsidRDefault="004B3A9F" w:rsidP="004B3A9F">
      <w:pPr>
        <w:spacing w:after="0"/>
        <w:ind w:left="72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Cell P16 input AFTER nesting the max dividend as 10*FT rule:</w:t>
      </w:r>
    </w:p>
    <w:p w:rsidR="004B3A9F" w:rsidRPr="004B3A9F" w:rsidRDefault="004B3A9F" w:rsidP="004B3A9F">
      <w:pPr>
        <w:spacing w:after="0"/>
        <w:ind w:left="72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=MIN(10*L16, above statement)</w:t>
      </w:r>
    </w:p>
    <w:p w:rsidR="004B3A9F" w:rsidRPr="004B3A9F" w:rsidRDefault="004B3A9F" w:rsidP="004B3A9F">
      <w:pPr>
        <w:spacing w:after="0"/>
        <w:ind w:left="72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Final P16 input:</w:t>
      </w:r>
    </w:p>
    <w:p w:rsidR="004B3A9F" w:rsidRPr="004B3A9F" w:rsidRDefault="004B3A9F" w:rsidP="004B3A9F">
      <w:pPr>
        <w:spacing w:after="0"/>
        <w:ind w:left="72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=MIN(10*L16,IF(AND(R15&gt;1,M16&gt;=O16),0.9*L16+0.025*K16,IF((AND(R15&gt;1,M16&lt;4)),0.2*K16,0.25*K16)))</w:t>
      </w:r>
    </w:p>
    <w:p w:rsidR="004B3A9F" w:rsidRPr="004B3A9F" w:rsidRDefault="004B3A9F" w:rsidP="004B3A9F">
      <w:pPr>
        <w:numPr>
          <w:ilvl w:val="0"/>
          <w:numId w:val="33"/>
        </w:numPr>
        <w:spacing w:after="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Q16 input =P16/L16</w:t>
      </w:r>
    </w:p>
    <w:p w:rsidR="004B3A9F" w:rsidRPr="004B3A9F" w:rsidRDefault="004B3A9F" w:rsidP="004B3A9F">
      <w:pPr>
        <w:numPr>
          <w:ilvl w:val="0"/>
          <w:numId w:val="33"/>
        </w:numPr>
        <w:spacing w:after="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R16 input =SUM(Q$14:Q16) which is the cumulative dividend/initial investment</w:t>
      </w:r>
    </w:p>
    <w:p w:rsidR="004B3A9F" w:rsidRPr="004B3A9F" w:rsidRDefault="004B3A9F" w:rsidP="004B3A9F">
      <w:pPr>
        <w:spacing w:after="0"/>
        <w:ind w:left="720"/>
        <w:contextualSpacing/>
        <w:rPr>
          <w:rFonts w:ascii="Garamond" w:eastAsia="Calibri" w:hAnsi="Garamond" w:cs="Times New Roman"/>
          <w:sz w:val="24"/>
          <w:szCs w:val="24"/>
          <w:lang w:val="en-US"/>
        </w:rPr>
      </w:pPr>
    </w:p>
    <w:p w:rsidR="004B3A9F" w:rsidRPr="004B3A9F" w:rsidRDefault="004B3A9F" w:rsidP="004B3A9F">
      <w:pPr>
        <w:numPr>
          <w:ilvl w:val="0"/>
          <w:numId w:val="33"/>
        </w:numPr>
        <w:spacing w:after="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Drag LMNOPQR from row 16 down to infinity</w:t>
      </w:r>
    </w:p>
    <w:p w:rsidR="004B3A9F" w:rsidRPr="004B3A9F" w:rsidRDefault="004B3A9F" w:rsidP="004B3A9F">
      <w:pPr>
        <w:spacing w:after="0"/>
        <w:ind w:left="720"/>
        <w:contextualSpacing/>
        <w:rPr>
          <w:rFonts w:ascii="Garamond" w:eastAsia="Calibri" w:hAnsi="Garamond" w:cs="Times New Roman"/>
          <w:sz w:val="24"/>
          <w:szCs w:val="24"/>
          <w:lang w:val="en-US"/>
        </w:rPr>
      </w:pPr>
    </w:p>
    <w:p w:rsidR="004B3A9F" w:rsidRPr="004B3A9F" w:rsidRDefault="004B3A9F" w:rsidP="004B3A9F">
      <w:pPr>
        <w:numPr>
          <w:ilvl w:val="0"/>
          <w:numId w:val="33"/>
        </w:numPr>
        <w:spacing w:after="0"/>
        <w:contextualSpacing/>
        <w:rPr>
          <w:rFonts w:ascii="Garamond" w:eastAsia="Calibri" w:hAnsi="Garamond" w:cs="Times New Roman"/>
          <w:sz w:val="24"/>
          <w:szCs w:val="24"/>
          <w:lang w:val="en-US"/>
        </w:rPr>
      </w:pPr>
      <w:r w:rsidRPr="004B3A9F">
        <w:rPr>
          <w:rFonts w:ascii="Garamond" w:eastAsia="Calibri" w:hAnsi="Garamond" w:cs="Times New Roman"/>
          <w:sz w:val="24"/>
          <w:szCs w:val="24"/>
          <w:lang w:val="en-US"/>
        </w:rPr>
        <w:t>In this example, the cell R33 shows that the cumu</w:t>
      </w:r>
      <w:r w:rsidR="00E41E95">
        <w:rPr>
          <w:rFonts w:ascii="Garamond" w:eastAsia="Calibri" w:hAnsi="Garamond" w:cs="Times New Roman"/>
          <w:sz w:val="24"/>
          <w:szCs w:val="24"/>
          <w:lang w:val="en-US"/>
        </w:rPr>
        <w:t>lative return would be about 119</w:t>
      </w:r>
      <w:r w:rsidRPr="004B3A9F">
        <w:rPr>
          <w:rFonts w:ascii="Garamond" w:eastAsia="Calibri" w:hAnsi="Garamond" w:cs="Times New Roman"/>
          <w:sz w:val="24"/>
          <w:szCs w:val="24"/>
          <w:lang w:val="en-US"/>
        </w:rPr>
        <w:t>X the initial investment at the 20 year mark, depending on the initial investment.</w:t>
      </w:r>
    </w:p>
    <w:p w:rsidR="00625158" w:rsidRDefault="00625158" w:rsidP="00625158">
      <w:pPr>
        <w:rPr>
          <w:rFonts w:asciiTheme="majorHAnsi" w:eastAsiaTheme="majorEastAsia" w:hAnsiTheme="majorHAnsi" w:cstheme="majorBidi"/>
          <w:sz w:val="26"/>
          <w:szCs w:val="26"/>
          <w:lang w:val="en-US"/>
        </w:rPr>
      </w:pPr>
    </w:p>
    <w:p w:rsidR="004B3A9F" w:rsidRDefault="004B3A9F" w:rsidP="00625158">
      <w:pPr>
        <w:rPr>
          <w:rFonts w:asciiTheme="majorHAnsi" w:eastAsiaTheme="majorEastAsia" w:hAnsiTheme="majorHAnsi" w:cstheme="majorBidi"/>
          <w:sz w:val="26"/>
          <w:szCs w:val="26"/>
          <w:lang w:val="en-US"/>
        </w:rPr>
      </w:pPr>
    </w:p>
    <w:p w:rsidR="004B3A9F" w:rsidRDefault="004B3A9F" w:rsidP="00625158">
      <w:pPr>
        <w:rPr>
          <w:rFonts w:asciiTheme="majorHAnsi" w:eastAsiaTheme="majorEastAsia" w:hAnsiTheme="majorHAnsi" w:cstheme="majorBidi"/>
          <w:sz w:val="26"/>
          <w:szCs w:val="26"/>
          <w:lang w:val="en-US"/>
        </w:rPr>
      </w:pPr>
    </w:p>
    <w:p w:rsidR="00C25E0F" w:rsidRDefault="00C25E0F">
      <w:pPr>
        <w:rPr>
          <w:rFonts w:asciiTheme="majorHAnsi" w:eastAsiaTheme="majorEastAsia" w:hAnsiTheme="majorHAnsi" w:cstheme="majorBidi"/>
          <w:sz w:val="26"/>
          <w:szCs w:val="26"/>
          <w:lang w:val="en-US"/>
        </w:rPr>
      </w:pPr>
      <w:r>
        <w:rPr>
          <w:rFonts w:asciiTheme="majorHAnsi" w:eastAsiaTheme="majorEastAsia" w:hAnsiTheme="majorHAnsi" w:cstheme="majorBidi"/>
          <w:sz w:val="26"/>
          <w:szCs w:val="26"/>
          <w:lang w:val="en-US"/>
        </w:rPr>
        <w:br w:type="page"/>
      </w:r>
    </w:p>
    <w:p w:rsidR="00C25E0F" w:rsidRPr="00FE5480" w:rsidRDefault="00C25E0F" w:rsidP="00C25E0F">
      <w:pPr>
        <w:keepNext/>
        <w:keepLines/>
        <w:spacing w:before="40" w:after="0"/>
        <w:outlineLvl w:val="1"/>
        <w:rPr>
          <w:rFonts w:asciiTheme="majorHAnsi" w:eastAsiaTheme="majorEastAsia" w:hAnsiTheme="majorHAnsi" w:cstheme="majorBidi"/>
          <w:b/>
          <w:color w:val="149346"/>
          <w:sz w:val="26"/>
          <w:szCs w:val="26"/>
          <w:lang w:val="en-US"/>
        </w:rPr>
      </w:pPr>
      <w:bookmarkStart w:id="35" w:name="_Toc403474350"/>
      <w:r>
        <w:rPr>
          <w:rFonts w:asciiTheme="majorHAnsi" w:eastAsiaTheme="majorEastAsia" w:hAnsiTheme="majorHAnsi" w:cstheme="majorBidi"/>
          <w:b/>
          <w:color w:val="149346"/>
          <w:sz w:val="26"/>
          <w:szCs w:val="26"/>
          <w:lang w:val="en-US"/>
        </w:rPr>
        <w:t xml:space="preserve">D </w:t>
      </w:r>
      <w:r w:rsidRPr="00FE5480">
        <w:rPr>
          <w:rFonts w:asciiTheme="majorHAnsi" w:eastAsiaTheme="majorEastAsia" w:hAnsiTheme="majorHAnsi" w:cstheme="majorBidi"/>
          <w:b/>
          <w:color w:val="149346"/>
          <w:sz w:val="26"/>
          <w:szCs w:val="26"/>
          <w:lang w:val="en-US"/>
        </w:rPr>
        <w:t xml:space="preserve">– </w:t>
      </w:r>
      <w:r w:rsidR="007148B2">
        <w:rPr>
          <w:rFonts w:asciiTheme="majorHAnsi" w:eastAsiaTheme="majorEastAsia" w:hAnsiTheme="majorHAnsi" w:cstheme="majorBidi"/>
          <w:b/>
          <w:color w:val="149346"/>
          <w:sz w:val="26"/>
          <w:szCs w:val="26"/>
          <w:lang w:val="en-US"/>
        </w:rPr>
        <w:t>TERM SHEET</w:t>
      </w:r>
      <w:r>
        <w:rPr>
          <w:rFonts w:asciiTheme="majorHAnsi" w:eastAsiaTheme="majorEastAsia" w:hAnsiTheme="majorHAnsi" w:cstheme="majorBidi"/>
          <w:b/>
          <w:color w:val="149346"/>
          <w:sz w:val="26"/>
          <w:szCs w:val="26"/>
          <w:lang w:val="en-US"/>
        </w:rPr>
        <w:t xml:space="preserve"> (</w:t>
      </w:r>
      <w:r w:rsidR="007148B2">
        <w:rPr>
          <w:rFonts w:asciiTheme="majorHAnsi" w:eastAsiaTheme="majorEastAsia" w:hAnsiTheme="majorHAnsi" w:cstheme="majorBidi"/>
          <w:b/>
          <w:color w:val="149346"/>
          <w:sz w:val="26"/>
          <w:szCs w:val="26"/>
          <w:lang w:val="en-US"/>
        </w:rPr>
        <w:t xml:space="preserve">modified </w:t>
      </w:r>
      <w:r>
        <w:rPr>
          <w:rFonts w:asciiTheme="majorHAnsi" w:eastAsiaTheme="majorEastAsia" w:hAnsiTheme="majorHAnsi" w:cstheme="majorBidi"/>
          <w:b/>
          <w:color w:val="149346"/>
          <w:sz w:val="26"/>
          <w:szCs w:val="26"/>
          <w:lang w:val="en-US"/>
        </w:rPr>
        <w:t>September 23</w:t>
      </w:r>
      <w:r w:rsidRPr="00C25E0F">
        <w:rPr>
          <w:rFonts w:asciiTheme="majorHAnsi" w:eastAsiaTheme="majorEastAsia" w:hAnsiTheme="majorHAnsi" w:cstheme="majorBidi"/>
          <w:b/>
          <w:color w:val="149346"/>
          <w:sz w:val="26"/>
          <w:szCs w:val="26"/>
          <w:vertAlign w:val="superscript"/>
          <w:lang w:val="en-US"/>
        </w:rPr>
        <w:t>rd</w:t>
      </w:r>
      <w:r>
        <w:rPr>
          <w:rFonts w:asciiTheme="majorHAnsi" w:eastAsiaTheme="majorEastAsia" w:hAnsiTheme="majorHAnsi" w:cstheme="majorBidi"/>
          <w:b/>
          <w:color w:val="149346"/>
          <w:sz w:val="26"/>
          <w:szCs w:val="26"/>
          <w:lang w:val="en-US"/>
        </w:rPr>
        <w:t xml:space="preserve"> 2014)</w:t>
      </w:r>
      <w:bookmarkEnd w:id="35"/>
    </w:p>
    <w:p w:rsidR="004B3A9F" w:rsidRDefault="004B3A9F" w:rsidP="00625158">
      <w:pPr>
        <w:rPr>
          <w:lang w:val="en-US"/>
        </w:rPr>
      </w:pPr>
    </w:p>
    <w:p w:rsidR="00C25E0F" w:rsidRPr="00C25E0F" w:rsidRDefault="00C25E0F" w:rsidP="00C25E0F">
      <w:pPr>
        <w:spacing w:after="0"/>
        <w:rPr>
          <w:rFonts w:ascii="Garamond" w:eastAsia="Calibri" w:hAnsi="Garamond" w:cs="Times New Roman"/>
          <w:sz w:val="24"/>
          <w:szCs w:val="24"/>
          <w:lang w:val="en-US"/>
        </w:rPr>
      </w:pPr>
      <w:r w:rsidRPr="00C25E0F">
        <w:rPr>
          <w:rFonts w:ascii="Garamond" w:eastAsia="Calibri" w:hAnsi="Garamond" w:cs="Times New Roman"/>
          <w:sz w:val="24"/>
          <w:szCs w:val="24"/>
          <w:lang w:val="en-US"/>
        </w:rPr>
        <w:t>Patricia Rogers at Moye White wrote the Material Terms of Offering as well as the Subscription Agreemen</w:t>
      </w:r>
      <w:r w:rsidR="00AC323D">
        <w:rPr>
          <w:rFonts w:ascii="Garamond" w:eastAsia="Calibri" w:hAnsi="Garamond" w:cs="Times New Roman"/>
          <w:sz w:val="24"/>
          <w:szCs w:val="24"/>
          <w:lang w:val="en-US"/>
        </w:rPr>
        <w:t>t.  Revisions as of September 25</w:t>
      </w:r>
      <w:r w:rsidR="00AC323D" w:rsidRPr="00AC323D">
        <w:rPr>
          <w:rFonts w:ascii="Garamond" w:eastAsia="Calibri" w:hAnsi="Garamond" w:cs="Times New Roman"/>
          <w:sz w:val="24"/>
          <w:szCs w:val="24"/>
          <w:vertAlign w:val="superscript"/>
          <w:lang w:val="en-US"/>
        </w:rPr>
        <w:t>th</w:t>
      </w:r>
      <w:r w:rsidR="00AC323D">
        <w:rPr>
          <w:rFonts w:ascii="Garamond" w:eastAsia="Calibri" w:hAnsi="Garamond" w:cs="Times New Roman"/>
          <w:sz w:val="24"/>
          <w:szCs w:val="24"/>
          <w:lang w:val="en-US"/>
        </w:rPr>
        <w:t xml:space="preserve"> </w:t>
      </w:r>
      <w:r w:rsidRPr="00C25E0F">
        <w:rPr>
          <w:rFonts w:ascii="Garamond" w:eastAsia="Calibri" w:hAnsi="Garamond" w:cs="Times New Roman"/>
          <w:sz w:val="24"/>
          <w:szCs w:val="24"/>
          <w:lang w:val="en-US"/>
        </w:rPr>
        <w:t>2014 will feature the following modifications, which will be final once negotiated with the investors.</w:t>
      </w:r>
    </w:p>
    <w:p w:rsidR="00C25E0F" w:rsidRPr="00C25E0F" w:rsidRDefault="00C25E0F" w:rsidP="00C25E0F">
      <w:pPr>
        <w:spacing w:after="0"/>
        <w:rPr>
          <w:rFonts w:ascii="Garamond" w:eastAsia="Calibri" w:hAnsi="Garamond" w:cs="Times New Roman"/>
          <w:sz w:val="24"/>
          <w:szCs w:val="24"/>
          <w:lang w:val="en-US"/>
        </w:rPr>
      </w:pPr>
    </w:p>
    <w:p w:rsidR="00C25E0F" w:rsidRPr="00C25E0F" w:rsidRDefault="00C25E0F" w:rsidP="00C25E0F">
      <w:pPr>
        <w:spacing w:after="0"/>
        <w:rPr>
          <w:rFonts w:ascii="Garamond" w:eastAsia="Calibri" w:hAnsi="Garamond" w:cs="Times New Roman"/>
          <w:sz w:val="24"/>
          <w:szCs w:val="24"/>
          <w:lang w:val="en-US"/>
        </w:rPr>
      </w:pPr>
    </w:p>
    <w:p w:rsidR="00C25E0F" w:rsidRPr="00C25E0F" w:rsidRDefault="00C25E0F" w:rsidP="00C25E0F">
      <w:pPr>
        <w:autoSpaceDE w:val="0"/>
        <w:autoSpaceDN w:val="0"/>
        <w:adjustRightInd w:val="0"/>
        <w:spacing w:after="0" w:line="240" w:lineRule="atLeast"/>
        <w:ind w:right="720"/>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September 23</w:t>
      </w:r>
      <w:r w:rsidRPr="00C25E0F">
        <w:rPr>
          <w:rFonts w:ascii="Times New Roman" w:eastAsia="Times New Roman" w:hAnsi="Times New Roman" w:cs="Times New Roman"/>
          <w:color w:val="000000"/>
          <w:sz w:val="24"/>
          <w:szCs w:val="24"/>
          <w:vertAlign w:val="superscript"/>
          <w:lang w:val="en-US"/>
        </w:rPr>
        <w:t>rd</w:t>
      </w:r>
      <w:r w:rsidRPr="00C25E0F">
        <w:rPr>
          <w:rFonts w:ascii="Times New Roman" w:eastAsia="Times New Roman" w:hAnsi="Times New Roman" w:cs="Times New Roman"/>
          <w:color w:val="000000"/>
          <w:sz w:val="24"/>
          <w:szCs w:val="24"/>
          <w:lang w:val="en-US"/>
        </w:rPr>
        <w:t>, 2014</w:t>
      </w:r>
      <w:bookmarkStart w:id="36" w:name="_DV_M2"/>
      <w:bookmarkEnd w:id="36"/>
    </w:p>
    <w:p w:rsidR="00C25E0F" w:rsidRPr="00C25E0F" w:rsidRDefault="00C25E0F" w:rsidP="00C25E0F">
      <w:pPr>
        <w:autoSpaceDE w:val="0"/>
        <w:autoSpaceDN w:val="0"/>
        <w:adjustRightInd w:val="0"/>
        <w:spacing w:after="0" w:line="240" w:lineRule="atLeast"/>
        <w:ind w:right="720"/>
        <w:rPr>
          <w:rFonts w:ascii="Times New Roman" w:eastAsia="Times New Roman" w:hAnsi="Times New Roman" w:cs="Times New Roman"/>
          <w:color w:val="000000"/>
          <w:sz w:val="24"/>
          <w:szCs w:val="24"/>
          <w:lang w:val="en-US"/>
        </w:rPr>
      </w:pPr>
      <w:bookmarkStart w:id="37" w:name="_DV_M3"/>
      <w:bookmarkEnd w:id="37"/>
    </w:p>
    <w:p w:rsidR="00C25E0F" w:rsidRPr="00C25E0F" w:rsidRDefault="00C25E0F" w:rsidP="00C25E0F">
      <w:pPr>
        <w:autoSpaceDE w:val="0"/>
        <w:autoSpaceDN w:val="0"/>
        <w:adjustRightInd w:val="0"/>
        <w:spacing w:after="0" w:line="240" w:lineRule="atLeast"/>
        <w:ind w:right="720"/>
        <w:rPr>
          <w:rFonts w:ascii="Times New Roman" w:eastAsia="Times New Roman" w:hAnsi="Times New Roman" w:cs="Times New Roman"/>
          <w:b/>
          <w:bCs/>
          <w:color w:val="000000"/>
          <w:sz w:val="24"/>
          <w:szCs w:val="24"/>
          <w:lang w:val="en-US"/>
        </w:rPr>
      </w:pPr>
      <w:bookmarkStart w:id="38" w:name="_DV_M7"/>
      <w:bookmarkEnd w:id="38"/>
      <w:r w:rsidRPr="00C25E0F">
        <w:rPr>
          <w:rFonts w:ascii="Times New Roman" w:eastAsia="Times New Roman" w:hAnsi="Times New Roman" w:cs="Times New Roman"/>
          <w:b/>
          <w:bCs/>
          <w:color w:val="000000"/>
          <w:sz w:val="24"/>
          <w:szCs w:val="24"/>
          <w:lang w:val="en-US"/>
        </w:rPr>
        <w:tab/>
        <w:t>Re:</w:t>
      </w:r>
      <w:r w:rsidRPr="00C25E0F">
        <w:rPr>
          <w:rFonts w:ascii="Times New Roman" w:eastAsia="Times New Roman" w:hAnsi="Times New Roman" w:cs="Times New Roman"/>
          <w:b/>
          <w:bCs/>
          <w:color w:val="000000"/>
          <w:sz w:val="24"/>
          <w:szCs w:val="24"/>
          <w:lang w:val="en-US"/>
        </w:rPr>
        <w:tab/>
      </w:r>
      <w:r w:rsidRPr="00C25E0F">
        <w:rPr>
          <w:rFonts w:ascii="Times New Roman" w:eastAsia="Times New Roman" w:hAnsi="Times New Roman" w:cs="Times New Roman"/>
          <w:b/>
          <w:bCs/>
          <w:color w:val="000000"/>
          <w:sz w:val="24"/>
          <w:szCs w:val="24"/>
          <w:u w:val="single"/>
          <w:lang w:val="en-US"/>
        </w:rPr>
        <w:t>Proposed Equity Issuance of PIARCS, PBC</w:t>
      </w:r>
    </w:p>
    <w:p w:rsidR="00C25E0F" w:rsidRPr="00C25E0F" w:rsidRDefault="00C25E0F" w:rsidP="00C25E0F">
      <w:pPr>
        <w:autoSpaceDE w:val="0"/>
        <w:autoSpaceDN w:val="0"/>
        <w:adjustRightInd w:val="0"/>
        <w:spacing w:after="0" w:line="240" w:lineRule="atLeast"/>
        <w:ind w:right="720"/>
        <w:rPr>
          <w:rFonts w:ascii="Times New Roman" w:eastAsia="Times New Roman" w:hAnsi="Times New Roman" w:cs="Times New Roman"/>
          <w:color w:val="000000"/>
          <w:sz w:val="24"/>
          <w:szCs w:val="24"/>
          <w:lang w:val="en-US"/>
        </w:rPr>
      </w:pPr>
    </w:p>
    <w:p w:rsidR="00C25E0F" w:rsidRPr="00C25E0F" w:rsidRDefault="00C25E0F" w:rsidP="00C25E0F">
      <w:pPr>
        <w:spacing w:after="0" w:line="240" w:lineRule="auto"/>
        <w:ind w:firstLine="720"/>
        <w:jc w:val="both"/>
        <w:rPr>
          <w:rFonts w:ascii="Times New Roman" w:eastAsia="Times New Roman" w:hAnsi="Times New Roman" w:cs="Times New Roman"/>
          <w:sz w:val="24"/>
          <w:szCs w:val="24"/>
          <w:lang w:val="en-US"/>
        </w:rPr>
      </w:pPr>
      <w:bookmarkStart w:id="39" w:name="_DV_M8"/>
      <w:bookmarkEnd w:id="39"/>
      <w:r w:rsidRPr="00C25E0F">
        <w:rPr>
          <w:rFonts w:ascii="Times New Roman" w:eastAsia="Times New Roman" w:hAnsi="Times New Roman" w:cs="Times New Roman"/>
          <w:color w:val="000000"/>
          <w:sz w:val="24"/>
          <w:szCs w:val="24"/>
          <w:lang w:val="en-US"/>
        </w:rPr>
        <w:t>The following provides an overview of a proposed equity sale (the “</w:t>
      </w:r>
      <w:r w:rsidRPr="00C25E0F">
        <w:rPr>
          <w:rFonts w:ascii="Times New Roman" w:eastAsia="Times New Roman" w:hAnsi="Times New Roman" w:cs="Times New Roman"/>
          <w:color w:val="000000"/>
          <w:sz w:val="24"/>
          <w:szCs w:val="24"/>
          <w:u w:val="single"/>
          <w:lang w:val="en-US"/>
        </w:rPr>
        <w:t>Transaction</w:t>
      </w:r>
      <w:r w:rsidRPr="00C25E0F">
        <w:rPr>
          <w:rFonts w:ascii="Times New Roman" w:eastAsia="Times New Roman" w:hAnsi="Times New Roman" w:cs="Times New Roman"/>
          <w:color w:val="000000"/>
          <w:sz w:val="24"/>
          <w:szCs w:val="24"/>
          <w:lang w:val="en-US"/>
        </w:rPr>
        <w:t xml:space="preserve">”) between </w:t>
      </w:r>
      <w:r w:rsidRPr="00C25E0F">
        <w:rPr>
          <w:rFonts w:ascii="Times New Roman" w:eastAsia="Times New Roman" w:hAnsi="Times New Roman" w:cs="Times New Roman"/>
          <w:sz w:val="24"/>
          <w:szCs w:val="24"/>
          <w:lang w:val="en-US"/>
        </w:rPr>
        <w:t>PIARCS, PBC, a Delaware public benefit corporation, (“</w:t>
      </w:r>
      <w:r w:rsidRPr="00C25E0F">
        <w:rPr>
          <w:rFonts w:ascii="Times New Roman" w:eastAsia="Times New Roman" w:hAnsi="Times New Roman" w:cs="Times New Roman"/>
          <w:color w:val="000000"/>
          <w:sz w:val="24"/>
          <w:szCs w:val="24"/>
          <w:u w:val="single"/>
          <w:lang w:val="en-US"/>
        </w:rPr>
        <w:t>Issuer</w:t>
      </w:r>
      <w:r w:rsidRPr="00C25E0F">
        <w:rPr>
          <w:rFonts w:ascii="Times New Roman" w:eastAsia="Times New Roman" w:hAnsi="Times New Roman" w:cs="Times New Roman"/>
          <w:color w:val="000000"/>
          <w:sz w:val="24"/>
          <w:szCs w:val="24"/>
          <w:lang w:val="en-US"/>
        </w:rPr>
        <w:t>”) and certain investors to be determined (each an “</w:t>
      </w:r>
      <w:r w:rsidRPr="00C25E0F">
        <w:rPr>
          <w:rFonts w:ascii="Times New Roman" w:eastAsia="Times New Roman" w:hAnsi="Times New Roman" w:cs="Times New Roman"/>
          <w:color w:val="000000"/>
          <w:sz w:val="24"/>
          <w:szCs w:val="24"/>
          <w:u w:val="single"/>
          <w:lang w:val="en-US"/>
        </w:rPr>
        <w:t>Investor</w:t>
      </w:r>
      <w:r w:rsidRPr="00C25E0F">
        <w:rPr>
          <w:rFonts w:ascii="Times New Roman" w:eastAsia="Times New Roman" w:hAnsi="Times New Roman" w:cs="Times New Roman"/>
          <w:color w:val="000000"/>
          <w:sz w:val="24"/>
          <w:szCs w:val="24"/>
          <w:lang w:val="en-US"/>
        </w:rPr>
        <w:t>” and collectively, the “</w:t>
      </w:r>
      <w:r w:rsidRPr="00C25E0F">
        <w:rPr>
          <w:rFonts w:ascii="Times New Roman" w:eastAsia="Times New Roman" w:hAnsi="Times New Roman" w:cs="Times New Roman"/>
          <w:color w:val="000000"/>
          <w:sz w:val="24"/>
          <w:szCs w:val="24"/>
          <w:u w:val="single"/>
          <w:lang w:val="en-US"/>
        </w:rPr>
        <w:t>Investors</w:t>
      </w:r>
      <w:r w:rsidRPr="00C25E0F">
        <w:rPr>
          <w:rFonts w:ascii="Times New Roman" w:eastAsia="Times New Roman" w:hAnsi="Times New Roman" w:cs="Times New Roman"/>
          <w:color w:val="000000"/>
          <w:sz w:val="24"/>
          <w:szCs w:val="24"/>
          <w:lang w:val="en-US"/>
        </w:rPr>
        <w:t>” and, together with the Issuer, each a “</w:t>
      </w:r>
      <w:r w:rsidRPr="00C25E0F">
        <w:rPr>
          <w:rFonts w:ascii="Times New Roman" w:eastAsia="Times New Roman" w:hAnsi="Times New Roman" w:cs="Times New Roman"/>
          <w:color w:val="000000"/>
          <w:sz w:val="24"/>
          <w:szCs w:val="24"/>
          <w:u w:val="single"/>
          <w:lang w:val="en-US"/>
        </w:rPr>
        <w:t>Party</w:t>
      </w:r>
      <w:r w:rsidRPr="00C25E0F">
        <w:rPr>
          <w:rFonts w:ascii="Times New Roman" w:eastAsia="Times New Roman" w:hAnsi="Times New Roman" w:cs="Times New Roman"/>
          <w:color w:val="000000"/>
          <w:sz w:val="24"/>
          <w:szCs w:val="24"/>
          <w:lang w:val="en-US"/>
        </w:rPr>
        <w:t>” and collectively the “</w:t>
      </w:r>
      <w:r w:rsidRPr="00C25E0F">
        <w:rPr>
          <w:rFonts w:ascii="Times New Roman" w:eastAsia="Times New Roman" w:hAnsi="Times New Roman" w:cs="Times New Roman"/>
          <w:color w:val="000000"/>
          <w:sz w:val="24"/>
          <w:szCs w:val="24"/>
          <w:u w:val="single"/>
          <w:lang w:val="en-US"/>
        </w:rPr>
        <w:t>Parties</w:t>
      </w:r>
      <w:r w:rsidRPr="00C25E0F">
        <w:rPr>
          <w:rFonts w:ascii="Times New Roman" w:eastAsia="Times New Roman" w:hAnsi="Times New Roman" w:cs="Times New Roman"/>
          <w:color w:val="000000"/>
          <w:sz w:val="24"/>
          <w:szCs w:val="24"/>
          <w:lang w:val="en-US"/>
        </w:rPr>
        <w:t xml:space="preserve">”).  This summary does not constitute an offer of securities and any transactions contemplated by this summary are subject to the execution of definitive agreements with respect to the Transaction, compliance with all applicable federal and state securities laws and regulations and compliance with the other terms and conditions of the Transaction provided in this summary or in the definitive agreements for the Transaction.  </w:t>
      </w:r>
    </w:p>
    <w:p w:rsidR="00C25E0F" w:rsidRPr="00C25E0F" w:rsidRDefault="00C25E0F" w:rsidP="00C25E0F">
      <w:pPr>
        <w:spacing w:after="0" w:line="240" w:lineRule="auto"/>
        <w:ind w:firstLine="720"/>
        <w:jc w:val="both"/>
        <w:rPr>
          <w:rFonts w:ascii="Times New Roman" w:eastAsia="Times New Roman" w:hAnsi="Times New Roman" w:cs="Times New Roman"/>
          <w:color w:val="000000"/>
          <w:sz w:val="24"/>
          <w:szCs w:val="24"/>
          <w:lang w:val="en-US"/>
        </w:rPr>
      </w:pPr>
    </w:p>
    <w:p w:rsidR="00C25E0F" w:rsidRPr="00C25E0F" w:rsidRDefault="00C25E0F" w:rsidP="00C25E0F">
      <w:pPr>
        <w:tabs>
          <w:tab w:val="left" w:leader="dot" w:pos="2160"/>
        </w:tabs>
        <w:spacing w:after="240" w:line="240" w:lineRule="auto"/>
        <w:ind w:left="2160" w:hanging="2160"/>
        <w:jc w:val="both"/>
        <w:rPr>
          <w:rFonts w:ascii="Times New Roman" w:eastAsia="Times New Roman" w:hAnsi="Times New Roman" w:cs="Times New Roman"/>
          <w:sz w:val="24"/>
          <w:szCs w:val="24"/>
          <w:lang w:val="en-US"/>
        </w:rPr>
      </w:pPr>
      <w:r w:rsidRPr="00C25E0F">
        <w:rPr>
          <w:rFonts w:ascii="Times New Roman" w:eastAsia="Times New Roman" w:hAnsi="Times New Roman" w:cs="Times New Roman"/>
          <w:b/>
          <w:sz w:val="24"/>
          <w:szCs w:val="24"/>
          <w:lang w:val="en-US"/>
        </w:rPr>
        <w:t>Issuer</w:t>
      </w:r>
      <w:r w:rsidRPr="00C25E0F">
        <w:rPr>
          <w:rFonts w:ascii="Times New Roman" w:eastAsia="Times New Roman" w:hAnsi="Times New Roman" w:cs="Times New Roman"/>
          <w:sz w:val="24"/>
          <w:szCs w:val="24"/>
          <w:lang w:val="en-US"/>
        </w:rPr>
        <w:tab/>
        <w:t>PIARCS, PBC, a Delaware public benefit corporation</w:t>
      </w:r>
    </w:p>
    <w:p w:rsidR="00C25E0F" w:rsidRPr="00C25E0F" w:rsidRDefault="00C25E0F" w:rsidP="00C25E0F">
      <w:pPr>
        <w:tabs>
          <w:tab w:val="left" w:leader="dot" w:pos="2160"/>
        </w:tabs>
        <w:spacing w:after="240" w:line="240" w:lineRule="auto"/>
        <w:ind w:left="2160" w:hanging="2160"/>
        <w:jc w:val="both"/>
        <w:rPr>
          <w:rFonts w:ascii="Times New Roman" w:eastAsia="Times New Roman" w:hAnsi="Times New Roman" w:cs="Times New Roman"/>
          <w:sz w:val="24"/>
          <w:szCs w:val="24"/>
          <w:lang w:val="en-US"/>
        </w:rPr>
      </w:pPr>
      <w:r w:rsidRPr="00C25E0F">
        <w:rPr>
          <w:rFonts w:ascii="Times New Roman" w:eastAsia="Times New Roman" w:hAnsi="Times New Roman" w:cs="Times New Roman"/>
          <w:b/>
          <w:sz w:val="24"/>
          <w:szCs w:val="24"/>
          <w:lang w:val="en-US"/>
        </w:rPr>
        <w:t>Transaction</w:t>
      </w:r>
      <w:r w:rsidRPr="00C25E0F">
        <w:rPr>
          <w:rFonts w:ascii="Times New Roman" w:eastAsia="Times New Roman" w:hAnsi="Times New Roman" w:cs="Times New Roman"/>
          <w:sz w:val="24"/>
          <w:szCs w:val="24"/>
          <w:lang w:val="en-US"/>
        </w:rPr>
        <w:tab/>
        <w:t>Issuance and sale of up to 20,000 shares of Issuer’s existing Series A Preferred Stock (the “</w:t>
      </w:r>
      <w:r w:rsidRPr="00C25E0F">
        <w:rPr>
          <w:rFonts w:ascii="Times New Roman" w:eastAsia="Times New Roman" w:hAnsi="Times New Roman" w:cs="Times New Roman"/>
          <w:sz w:val="24"/>
          <w:szCs w:val="24"/>
          <w:u w:val="single"/>
          <w:lang w:val="en-US"/>
        </w:rPr>
        <w:t>Shares</w:t>
      </w:r>
      <w:r w:rsidRPr="00C25E0F">
        <w:rPr>
          <w:rFonts w:ascii="Times New Roman" w:eastAsia="Times New Roman" w:hAnsi="Times New Roman" w:cs="Times New Roman"/>
          <w:sz w:val="24"/>
          <w:szCs w:val="24"/>
          <w:lang w:val="en-US"/>
        </w:rPr>
        <w:t>”), $0.001 par value, at a price per share equal to $</w:t>
      </w:r>
      <w:r w:rsidR="009049D6">
        <w:rPr>
          <w:rFonts w:ascii="Times New Roman" w:eastAsia="Times New Roman" w:hAnsi="Times New Roman" w:cs="Times New Roman"/>
          <w:sz w:val="24"/>
          <w:szCs w:val="24"/>
          <w:lang w:val="en-US"/>
        </w:rPr>
        <w:t>25</w:t>
      </w:r>
      <w:r w:rsidRPr="00C25E0F">
        <w:rPr>
          <w:rFonts w:ascii="Times New Roman" w:eastAsia="Times New Roman" w:hAnsi="Times New Roman" w:cs="Times New Roman"/>
          <w:sz w:val="24"/>
          <w:szCs w:val="24"/>
          <w:lang w:val="en-US"/>
        </w:rPr>
        <w:t>.00, for an aggregate purchase price of $</w:t>
      </w:r>
      <w:r w:rsidR="009049D6">
        <w:rPr>
          <w:rFonts w:ascii="Times New Roman" w:eastAsia="Times New Roman" w:hAnsi="Times New Roman" w:cs="Times New Roman"/>
          <w:sz w:val="24"/>
          <w:szCs w:val="24"/>
          <w:lang w:val="en-US"/>
        </w:rPr>
        <w:t>5</w:t>
      </w:r>
      <w:r w:rsidRPr="00C25E0F">
        <w:rPr>
          <w:rFonts w:ascii="Times New Roman" w:eastAsia="Times New Roman" w:hAnsi="Times New Roman" w:cs="Times New Roman"/>
          <w:sz w:val="24"/>
          <w:szCs w:val="24"/>
          <w:lang w:val="en-US"/>
        </w:rPr>
        <w:t>00,000.</w:t>
      </w:r>
    </w:p>
    <w:p w:rsidR="00C25E0F" w:rsidRPr="00C25E0F" w:rsidRDefault="00C25E0F" w:rsidP="00C25E0F">
      <w:pPr>
        <w:tabs>
          <w:tab w:val="left" w:leader="dot" w:pos="2160"/>
        </w:tabs>
        <w:spacing w:after="240" w:line="240" w:lineRule="auto"/>
        <w:ind w:left="2160" w:hanging="2160"/>
        <w:jc w:val="both"/>
        <w:rPr>
          <w:rFonts w:ascii="Times New Roman" w:eastAsia="Times New Roman" w:hAnsi="Times New Roman" w:cs="Times New Roman"/>
          <w:sz w:val="24"/>
          <w:szCs w:val="24"/>
          <w:lang w:val="en-US"/>
        </w:rPr>
      </w:pPr>
      <w:r w:rsidRPr="00C25E0F">
        <w:rPr>
          <w:rFonts w:ascii="Times New Roman" w:eastAsia="Times New Roman" w:hAnsi="Times New Roman" w:cs="Times New Roman"/>
          <w:b/>
          <w:sz w:val="24"/>
          <w:szCs w:val="24"/>
          <w:lang w:val="en-US"/>
        </w:rPr>
        <w:t>Purpose</w:t>
      </w:r>
      <w:r w:rsidRPr="00C25E0F">
        <w:rPr>
          <w:rFonts w:ascii="Times New Roman" w:eastAsia="Times New Roman" w:hAnsi="Times New Roman" w:cs="Times New Roman"/>
          <w:sz w:val="24"/>
          <w:szCs w:val="24"/>
          <w:lang w:val="en-US"/>
        </w:rPr>
        <w:tab/>
        <w:t xml:space="preserve"> To fund working capital needs of the Issuer.</w:t>
      </w:r>
    </w:p>
    <w:p w:rsidR="00C25E0F" w:rsidRPr="00C25E0F" w:rsidRDefault="00C25E0F" w:rsidP="00C25E0F">
      <w:pPr>
        <w:tabs>
          <w:tab w:val="left" w:leader="dot" w:pos="2160"/>
        </w:tabs>
        <w:spacing w:after="0" w:line="240" w:lineRule="auto"/>
        <w:ind w:left="2160" w:hanging="2160"/>
        <w:jc w:val="both"/>
        <w:rPr>
          <w:rFonts w:ascii="Times New Roman" w:eastAsia="Times New Roman" w:hAnsi="Times New Roman" w:cs="Times New Roman"/>
          <w:b/>
          <w:sz w:val="24"/>
          <w:szCs w:val="24"/>
          <w:lang w:val="en-US"/>
        </w:rPr>
      </w:pPr>
      <w:r w:rsidRPr="00C25E0F">
        <w:rPr>
          <w:rFonts w:ascii="Times New Roman" w:eastAsia="Times New Roman" w:hAnsi="Times New Roman" w:cs="Times New Roman"/>
          <w:b/>
          <w:sz w:val="24"/>
          <w:szCs w:val="24"/>
          <w:lang w:val="en-US"/>
        </w:rPr>
        <w:t>Subscription</w:t>
      </w:r>
    </w:p>
    <w:p w:rsidR="00C25E0F" w:rsidRPr="00C25E0F" w:rsidRDefault="00C25E0F" w:rsidP="00C25E0F">
      <w:pPr>
        <w:tabs>
          <w:tab w:val="left" w:leader="dot" w:pos="2160"/>
        </w:tabs>
        <w:spacing w:after="240" w:line="240" w:lineRule="auto"/>
        <w:ind w:left="2160" w:hanging="2160"/>
        <w:jc w:val="both"/>
        <w:rPr>
          <w:rFonts w:ascii="Times New Roman" w:eastAsia="Times New Roman" w:hAnsi="Times New Roman" w:cs="Times New Roman"/>
          <w:sz w:val="24"/>
          <w:szCs w:val="24"/>
          <w:lang w:val="en-US"/>
        </w:rPr>
      </w:pPr>
      <w:r w:rsidRPr="00C25E0F">
        <w:rPr>
          <w:rFonts w:ascii="Times New Roman" w:eastAsia="Times New Roman" w:hAnsi="Times New Roman" w:cs="Times New Roman"/>
          <w:b/>
          <w:sz w:val="24"/>
          <w:szCs w:val="24"/>
          <w:lang w:val="en-US"/>
        </w:rPr>
        <w:t>Agreement</w:t>
      </w:r>
      <w:r w:rsidRPr="00C25E0F">
        <w:rPr>
          <w:rFonts w:ascii="Times New Roman" w:eastAsia="Times New Roman" w:hAnsi="Times New Roman" w:cs="Times New Roman"/>
          <w:sz w:val="24"/>
          <w:szCs w:val="24"/>
          <w:lang w:val="en-US"/>
        </w:rPr>
        <w:tab/>
        <w:t xml:space="preserve">Investors will each enter into a subscription agreement with Issuer in a in the form attached hereto as </w:t>
      </w:r>
      <w:r w:rsidRPr="00C25E0F">
        <w:rPr>
          <w:rFonts w:ascii="Times New Roman" w:eastAsia="Times New Roman" w:hAnsi="Times New Roman" w:cs="Times New Roman"/>
          <w:sz w:val="24"/>
          <w:szCs w:val="24"/>
          <w:u w:val="single"/>
          <w:lang w:val="en-US"/>
        </w:rPr>
        <w:t>Exhibit B</w:t>
      </w:r>
      <w:r w:rsidRPr="00C25E0F">
        <w:rPr>
          <w:rFonts w:ascii="Times New Roman" w:eastAsia="Times New Roman" w:hAnsi="Times New Roman" w:cs="Times New Roman"/>
          <w:sz w:val="24"/>
          <w:szCs w:val="24"/>
          <w:lang w:val="en-US"/>
        </w:rPr>
        <w:t xml:space="preserve"> (the “</w:t>
      </w:r>
      <w:r w:rsidRPr="00C25E0F">
        <w:rPr>
          <w:rFonts w:ascii="Times New Roman" w:eastAsia="Times New Roman" w:hAnsi="Times New Roman" w:cs="Times New Roman"/>
          <w:sz w:val="24"/>
          <w:szCs w:val="24"/>
          <w:u w:val="single"/>
          <w:lang w:val="en-US"/>
        </w:rPr>
        <w:t>Subscription Agreement</w:t>
      </w:r>
      <w:r w:rsidRPr="00C25E0F">
        <w:rPr>
          <w:rFonts w:ascii="Times New Roman" w:eastAsia="Times New Roman" w:hAnsi="Times New Roman" w:cs="Times New Roman"/>
          <w:sz w:val="24"/>
          <w:szCs w:val="24"/>
          <w:lang w:val="en-US"/>
        </w:rPr>
        <w:t xml:space="preserve">”). </w:t>
      </w:r>
    </w:p>
    <w:p w:rsidR="00C25E0F" w:rsidRPr="00C25E0F" w:rsidRDefault="00C25E0F" w:rsidP="00C25E0F">
      <w:pPr>
        <w:tabs>
          <w:tab w:val="left" w:leader="dot" w:pos="2160"/>
        </w:tabs>
        <w:spacing w:after="0" w:line="240" w:lineRule="auto"/>
        <w:jc w:val="both"/>
        <w:rPr>
          <w:rFonts w:ascii="Times New Roman" w:eastAsia="Times New Roman" w:hAnsi="Times New Roman" w:cs="Times New Roman"/>
          <w:b/>
          <w:sz w:val="24"/>
          <w:szCs w:val="24"/>
          <w:lang w:val="en-US"/>
        </w:rPr>
      </w:pPr>
      <w:r w:rsidRPr="00C25E0F">
        <w:rPr>
          <w:rFonts w:ascii="Times New Roman" w:eastAsia="Times New Roman" w:hAnsi="Times New Roman" w:cs="Times New Roman"/>
          <w:b/>
          <w:sz w:val="24"/>
          <w:szCs w:val="24"/>
          <w:lang w:val="en-US"/>
        </w:rPr>
        <w:t>Shareholders</w:t>
      </w:r>
    </w:p>
    <w:p w:rsidR="00C25E0F" w:rsidRPr="00C25E0F" w:rsidRDefault="00C25E0F" w:rsidP="00C25E0F">
      <w:pPr>
        <w:tabs>
          <w:tab w:val="left" w:leader="dot" w:pos="2160"/>
        </w:tabs>
        <w:spacing w:after="0" w:line="240" w:lineRule="auto"/>
        <w:ind w:left="2160" w:hanging="2160"/>
        <w:jc w:val="both"/>
        <w:rPr>
          <w:rFonts w:ascii="Times New Roman" w:eastAsia="Times New Roman" w:hAnsi="Times New Roman" w:cs="Times New Roman"/>
          <w:sz w:val="24"/>
          <w:szCs w:val="24"/>
          <w:lang w:val="en-US"/>
        </w:rPr>
      </w:pPr>
      <w:r w:rsidRPr="00C25E0F">
        <w:rPr>
          <w:rFonts w:ascii="Times New Roman" w:eastAsia="Times New Roman" w:hAnsi="Times New Roman" w:cs="Times New Roman"/>
          <w:b/>
          <w:sz w:val="24"/>
          <w:szCs w:val="24"/>
          <w:lang w:val="en-US"/>
        </w:rPr>
        <w:t>Agreement</w:t>
      </w:r>
      <w:r w:rsidRPr="00C25E0F">
        <w:rPr>
          <w:rFonts w:ascii="Times New Roman" w:eastAsia="Times New Roman" w:hAnsi="Times New Roman" w:cs="Times New Roman"/>
          <w:sz w:val="24"/>
          <w:szCs w:val="24"/>
          <w:lang w:val="en-US"/>
        </w:rPr>
        <w:tab/>
        <w:t xml:space="preserve">Each Investor will execute a Joinder to the Issuer’s Shareholders Agreement, a copy of which is attached hereto as </w:t>
      </w:r>
      <w:r w:rsidRPr="00C25E0F">
        <w:rPr>
          <w:rFonts w:ascii="Times New Roman" w:eastAsia="Times New Roman" w:hAnsi="Times New Roman" w:cs="Times New Roman"/>
          <w:sz w:val="24"/>
          <w:szCs w:val="24"/>
          <w:u w:val="single"/>
          <w:lang w:val="en-US"/>
        </w:rPr>
        <w:t>Exhibit C</w:t>
      </w:r>
      <w:r w:rsidRPr="00C25E0F">
        <w:rPr>
          <w:rFonts w:ascii="Times New Roman" w:eastAsia="Times New Roman" w:hAnsi="Times New Roman" w:cs="Times New Roman"/>
          <w:sz w:val="24"/>
          <w:szCs w:val="24"/>
          <w:lang w:val="en-US"/>
        </w:rPr>
        <w:t>.</w:t>
      </w:r>
    </w:p>
    <w:p w:rsidR="00C25E0F" w:rsidRPr="00C25E0F" w:rsidRDefault="00C25E0F" w:rsidP="00C25E0F">
      <w:pPr>
        <w:tabs>
          <w:tab w:val="left" w:leader="dot" w:pos="2160"/>
        </w:tabs>
        <w:spacing w:after="0" w:line="240" w:lineRule="auto"/>
        <w:ind w:left="2160" w:hanging="2160"/>
        <w:jc w:val="both"/>
        <w:rPr>
          <w:rFonts w:ascii="Times New Roman" w:eastAsia="Times New Roman" w:hAnsi="Times New Roman" w:cs="Times New Roman"/>
          <w:sz w:val="24"/>
          <w:szCs w:val="24"/>
          <w:lang w:val="en-US"/>
        </w:rPr>
      </w:pPr>
    </w:p>
    <w:p w:rsidR="00C25E0F" w:rsidRPr="00C25E0F" w:rsidRDefault="00C25E0F" w:rsidP="00C25E0F">
      <w:pPr>
        <w:tabs>
          <w:tab w:val="left" w:leader="dot" w:pos="2160"/>
        </w:tabs>
        <w:spacing w:after="240" w:line="240" w:lineRule="auto"/>
        <w:ind w:left="2160" w:hanging="2160"/>
        <w:jc w:val="both"/>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b/>
          <w:bCs/>
          <w:color w:val="000000"/>
          <w:sz w:val="24"/>
          <w:szCs w:val="24"/>
          <w:lang w:val="en-US"/>
        </w:rPr>
        <w:t>Closing Date</w:t>
      </w:r>
      <w:r w:rsidRPr="00C25E0F">
        <w:rPr>
          <w:rFonts w:ascii="Times New Roman" w:eastAsia="Times New Roman" w:hAnsi="Times New Roman" w:cs="Times New Roman"/>
          <w:bCs/>
          <w:color w:val="000000"/>
          <w:sz w:val="24"/>
          <w:szCs w:val="24"/>
          <w:lang w:val="en-US"/>
        </w:rPr>
        <w:tab/>
        <w:t>On or before October 31</w:t>
      </w:r>
      <w:r w:rsidRPr="00C25E0F">
        <w:rPr>
          <w:rFonts w:ascii="Times New Roman" w:eastAsia="Times New Roman" w:hAnsi="Times New Roman" w:cs="Times New Roman"/>
          <w:bCs/>
          <w:color w:val="000000"/>
          <w:sz w:val="24"/>
          <w:szCs w:val="24"/>
          <w:vertAlign w:val="superscript"/>
          <w:lang w:val="en-US"/>
        </w:rPr>
        <w:t>st</w:t>
      </w:r>
      <w:r w:rsidRPr="00C25E0F">
        <w:rPr>
          <w:rFonts w:ascii="Times New Roman" w:eastAsia="Times New Roman" w:hAnsi="Times New Roman" w:cs="Times New Roman"/>
          <w:bCs/>
          <w:color w:val="000000"/>
          <w:sz w:val="24"/>
          <w:szCs w:val="24"/>
          <w:lang w:val="en-US"/>
        </w:rPr>
        <w:t>, 2014, with one or more subsequent closings on identical terms and conditions within sixty (60) days of the initial closing</w:t>
      </w:r>
      <w:r w:rsidRPr="00C25E0F">
        <w:rPr>
          <w:rFonts w:ascii="Times New Roman" w:eastAsia="Times New Roman" w:hAnsi="Times New Roman" w:cs="Times New Roman"/>
          <w:color w:val="000000"/>
          <w:sz w:val="24"/>
          <w:szCs w:val="24"/>
          <w:lang w:val="en-US"/>
        </w:rPr>
        <w:t>.</w:t>
      </w:r>
    </w:p>
    <w:p w:rsidR="00C25E0F" w:rsidRPr="00C25E0F" w:rsidRDefault="00C25E0F" w:rsidP="00C25E0F">
      <w:pPr>
        <w:tabs>
          <w:tab w:val="left" w:leader="dot" w:pos="2160"/>
        </w:tabs>
        <w:spacing w:after="240" w:line="240" w:lineRule="auto"/>
        <w:ind w:left="2160" w:hanging="2160"/>
        <w:jc w:val="both"/>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b/>
          <w:sz w:val="24"/>
          <w:szCs w:val="24"/>
          <w:lang w:val="en-US"/>
        </w:rPr>
        <w:t>Material Terms</w:t>
      </w:r>
      <w:r w:rsidRPr="00C25E0F">
        <w:rPr>
          <w:rFonts w:ascii="Times New Roman" w:eastAsia="Times New Roman" w:hAnsi="Times New Roman" w:cs="Times New Roman"/>
          <w:sz w:val="24"/>
          <w:szCs w:val="24"/>
          <w:lang w:val="en-US"/>
        </w:rPr>
        <w:tab/>
      </w:r>
      <w:r w:rsidRPr="00C25E0F">
        <w:rPr>
          <w:rFonts w:ascii="Times New Roman" w:eastAsia="Times New Roman" w:hAnsi="Times New Roman" w:cs="Times New Roman"/>
          <w:color w:val="000000"/>
          <w:sz w:val="24"/>
          <w:szCs w:val="24"/>
          <w:lang w:val="en-US"/>
        </w:rPr>
        <w:t xml:space="preserve">Certain material terms applicable to the Series A Preferred Stock are listed on </w:t>
      </w:r>
      <w:r w:rsidRPr="00C25E0F">
        <w:rPr>
          <w:rFonts w:ascii="Times New Roman" w:eastAsia="Times New Roman" w:hAnsi="Times New Roman" w:cs="Times New Roman"/>
          <w:color w:val="000000"/>
          <w:sz w:val="24"/>
          <w:szCs w:val="24"/>
          <w:u w:val="single"/>
          <w:lang w:val="en-US"/>
        </w:rPr>
        <w:t>Exhibit A</w:t>
      </w:r>
      <w:r w:rsidRPr="00C25E0F">
        <w:rPr>
          <w:rFonts w:ascii="Times New Roman" w:eastAsia="Times New Roman" w:hAnsi="Times New Roman" w:cs="Times New Roman"/>
          <w:color w:val="000000"/>
          <w:sz w:val="24"/>
          <w:szCs w:val="24"/>
          <w:lang w:val="en-US"/>
        </w:rPr>
        <w:t xml:space="preserve"> hereto. Investors are encouraged to review the Subscription Agreement, Shareholders Agreement, and the Issuer’s Certificate of Incorporation, a copy of which is attached hereto as </w:t>
      </w:r>
      <w:r w:rsidRPr="00C25E0F">
        <w:rPr>
          <w:rFonts w:ascii="Times New Roman" w:eastAsia="Times New Roman" w:hAnsi="Times New Roman" w:cs="Times New Roman"/>
          <w:color w:val="000000"/>
          <w:sz w:val="24"/>
          <w:szCs w:val="24"/>
          <w:u w:val="single"/>
          <w:lang w:val="en-US"/>
        </w:rPr>
        <w:t>Exhibit D</w:t>
      </w:r>
      <w:r w:rsidRPr="00C25E0F">
        <w:rPr>
          <w:rFonts w:ascii="Times New Roman" w:eastAsia="Times New Roman" w:hAnsi="Times New Roman" w:cs="Times New Roman"/>
          <w:color w:val="000000"/>
          <w:sz w:val="24"/>
          <w:szCs w:val="24"/>
          <w:lang w:val="en-US"/>
        </w:rPr>
        <w:t>, with their respective accountants, legal counsel and investment advisors prior to making any investments in Issuer.</w:t>
      </w:r>
    </w:p>
    <w:p w:rsidR="00C25E0F" w:rsidRPr="00C25E0F" w:rsidRDefault="00C25E0F" w:rsidP="00C25E0F">
      <w:pPr>
        <w:spacing w:after="0" w:line="240" w:lineRule="auto"/>
        <w:jc w:val="center"/>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br w:type="page"/>
        <w:t>EXHIBIT A</w:t>
      </w:r>
    </w:p>
    <w:p w:rsidR="00C25E0F" w:rsidRPr="00C25E0F" w:rsidRDefault="00C25E0F" w:rsidP="00C25E0F">
      <w:pPr>
        <w:spacing w:after="0" w:line="240" w:lineRule="auto"/>
        <w:jc w:val="center"/>
        <w:rPr>
          <w:rFonts w:ascii="Times New Roman" w:eastAsia="Times New Roman" w:hAnsi="Times New Roman" w:cs="Times New Roman"/>
          <w:color w:val="000000"/>
          <w:sz w:val="24"/>
          <w:szCs w:val="24"/>
          <w:lang w:val="en-US"/>
        </w:rPr>
      </w:pPr>
    </w:p>
    <w:p w:rsidR="00C25E0F" w:rsidRPr="00C25E0F" w:rsidRDefault="00C25E0F" w:rsidP="00C25E0F">
      <w:pPr>
        <w:spacing w:after="0" w:line="240" w:lineRule="auto"/>
        <w:jc w:val="center"/>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Summary of Material Terms Applicable to Series A Preferred Stock</w:t>
      </w:r>
    </w:p>
    <w:p w:rsidR="00C25E0F" w:rsidRPr="00C25E0F" w:rsidRDefault="00C25E0F" w:rsidP="00C25E0F">
      <w:pPr>
        <w:spacing w:after="0" w:line="240" w:lineRule="auto"/>
        <w:jc w:val="both"/>
        <w:rPr>
          <w:rFonts w:ascii="Times New Roman" w:eastAsia="Times New Roman" w:hAnsi="Times New Roman" w:cs="Times New Roman"/>
          <w:color w:val="000000"/>
          <w:sz w:val="24"/>
          <w:szCs w:val="24"/>
          <w:lang w:val="en-US"/>
        </w:rPr>
      </w:pPr>
    </w:p>
    <w:p w:rsidR="00C25E0F" w:rsidRPr="00C25E0F" w:rsidRDefault="00C25E0F" w:rsidP="00C25E0F">
      <w:pPr>
        <w:spacing w:after="0" w:line="240" w:lineRule="auto"/>
        <w:jc w:val="both"/>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The following is not meant to be comprehensive, and Investors are encouraged to review the Issuer’s Certificate of Incorporation, Subscription Agreement and Shareholders Agreement thoroughly before making any investment in the Issuer.</w:t>
      </w:r>
    </w:p>
    <w:p w:rsidR="00C25E0F" w:rsidRPr="00C25E0F" w:rsidRDefault="00C25E0F" w:rsidP="00C25E0F">
      <w:pPr>
        <w:spacing w:after="0" w:line="240" w:lineRule="auto"/>
        <w:jc w:val="both"/>
        <w:rPr>
          <w:rFonts w:ascii="Times New Roman" w:eastAsia="Times New Roman" w:hAnsi="Times New Roman" w:cs="Times New Roman"/>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6678"/>
      </w:tblGrid>
      <w:tr w:rsidR="00C25E0F" w:rsidRPr="00C25E0F" w:rsidTr="00713377">
        <w:tc>
          <w:tcPr>
            <w:tcW w:w="2898" w:type="dxa"/>
            <w:shd w:val="clear" w:color="auto" w:fill="auto"/>
          </w:tcPr>
          <w:p w:rsidR="00C25E0F" w:rsidRPr="00C25E0F" w:rsidRDefault="00C25E0F" w:rsidP="00C25E0F">
            <w:pPr>
              <w:spacing w:after="0" w:line="240" w:lineRule="auto"/>
              <w:rPr>
                <w:rFonts w:ascii="Times New Roman" w:eastAsia="Times New Roman" w:hAnsi="Times New Roman" w:cs="Times New Roman"/>
                <w:b/>
                <w:color w:val="000000"/>
                <w:sz w:val="24"/>
                <w:szCs w:val="24"/>
                <w:lang w:val="en-US"/>
              </w:rPr>
            </w:pPr>
            <w:r w:rsidRPr="00C25E0F">
              <w:rPr>
                <w:rFonts w:ascii="Times New Roman" w:eastAsia="Times New Roman" w:hAnsi="Times New Roman" w:cs="Times New Roman"/>
                <w:b/>
                <w:color w:val="000000"/>
                <w:sz w:val="24"/>
                <w:szCs w:val="24"/>
                <w:lang w:val="en-US"/>
              </w:rPr>
              <w:t>Topic</w:t>
            </w:r>
          </w:p>
        </w:tc>
        <w:tc>
          <w:tcPr>
            <w:tcW w:w="6678" w:type="dxa"/>
            <w:shd w:val="clear" w:color="auto" w:fill="auto"/>
          </w:tcPr>
          <w:p w:rsidR="00C25E0F" w:rsidRPr="00C25E0F" w:rsidRDefault="00C25E0F" w:rsidP="00C25E0F">
            <w:pPr>
              <w:spacing w:after="0" w:line="240" w:lineRule="auto"/>
              <w:rPr>
                <w:rFonts w:ascii="Times New Roman" w:eastAsia="Times New Roman" w:hAnsi="Times New Roman" w:cs="Times New Roman"/>
                <w:b/>
                <w:color w:val="000000"/>
                <w:sz w:val="24"/>
                <w:szCs w:val="24"/>
                <w:lang w:val="en-US"/>
              </w:rPr>
            </w:pPr>
            <w:r w:rsidRPr="00C25E0F">
              <w:rPr>
                <w:rFonts w:ascii="Times New Roman" w:eastAsia="Times New Roman" w:hAnsi="Times New Roman" w:cs="Times New Roman"/>
                <w:b/>
                <w:color w:val="000000"/>
                <w:sz w:val="24"/>
                <w:szCs w:val="24"/>
                <w:lang w:val="en-US"/>
              </w:rPr>
              <w:t>Summary of Terms</w:t>
            </w:r>
          </w:p>
        </w:tc>
      </w:tr>
      <w:tr w:rsidR="00C25E0F" w:rsidRPr="00532CEA" w:rsidTr="00713377">
        <w:tc>
          <w:tcPr>
            <w:tcW w:w="2898" w:type="dxa"/>
            <w:shd w:val="clear" w:color="auto" w:fill="auto"/>
          </w:tcPr>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Minimum Investment</w:t>
            </w:r>
          </w:p>
        </w:tc>
        <w:tc>
          <w:tcPr>
            <w:tcW w:w="6678" w:type="dxa"/>
            <w:shd w:val="clear" w:color="auto" w:fill="auto"/>
          </w:tcPr>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The minimum investment in this Transaction is $25,000.00 (</w:t>
            </w:r>
            <w:r w:rsidR="009049D6">
              <w:rPr>
                <w:rFonts w:ascii="Times New Roman" w:eastAsia="Times New Roman" w:hAnsi="Times New Roman" w:cs="Times New Roman"/>
                <w:color w:val="000000"/>
                <w:sz w:val="24"/>
                <w:szCs w:val="24"/>
                <w:lang w:val="en-US"/>
              </w:rPr>
              <w:t>1,000</w:t>
            </w:r>
            <w:r w:rsidRPr="00C25E0F">
              <w:rPr>
                <w:rFonts w:ascii="Times New Roman" w:eastAsia="Times New Roman" w:hAnsi="Times New Roman" w:cs="Times New Roman"/>
                <w:color w:val="000000"/>
                <w:sz w:val="24"/>
                <w:szCs w:val="24"/>
                <w:lang w:val="en-US"/>
              </w:rPr>
              <w:t xml:space="preserve"> shares of Series A Preferred Stock (“Preferred Stock”))</w:t>
            </w:r>
          </w:p>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p>
        </w:tc>
      </w:tr>
      <w:tr w:rsidR="00C25E0F" w:rsidRPr="00532CEA" w:rsidTr="00713377">
        <w:tc>
          <w:tcPr>
            <w:tcW w:w="2898" w:type="dxa"/>
            <w:shd w:val="clear" w:color="auto" w:fill="auto"/>
          </w:tcPr>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Dividends</w:t>
            </w:r>
          </w:p>
        </w:tc>
        <w:tc>
          <w:tcPr>
            <w:tcW w:w="6678" w:type="dxa"/>
            <w:shd w:val="clear" w:color="auto" w:fill="auto"/>
          </w:tcPr>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Preferred Stock will accrue dividends as set forth in the Issuer’s Certificate of Incorporation (“COI”), which will be payable as set forth in the COI.</w:t>
            </w:r>
          </w:p>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p>
        </w:tc>
      </w:tr>
      <w:tr w:rsidR="00C25E0F" w:rsidRPr="00532CEA" w:rsidTr="00713377">
        <w:tc>
          <w:tcPr>
            <w:tcW w:w="2898" w:type="dxa"/>
            <w:shd w:val="clear" w:color="auto" w:fill="auto"/>
          </w:tcPr>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Voting Rights</w:t>
            </w:r>
          </w:p>
        </w:tc>
        <w:tc>
          <w:tcPr>
            <w:tcW w:w="6678" w:type="dxa"/>
            <w:shd w:val="clear" w:color="auto" w:fill="auto"/>
          </w:tcPr>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Holders of Preferred Stock are entitled to one vote per share of Preferred Stock, voting together with the holders of the Issuer’s common stock, $0.001 par value (the “Common Stock”) on all matters that come before the shareholders.</w:t>
            </w:r>
          </w:p>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p>
        </w:tc>
      </w:tr>
      <w:tr w:rsidR="00C25E0F" w:rsidRPr="00532CEA" w:rsidTr="00713377">
        <w:tc>
          <w:tcPr>
            <w:tcW w:w="2898" w:type="dxa"/>
            <w:shd w:val="clear" w:color="auto" w:fill="auto"/>
          </w:tcPr>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Board of Directors</w:t>
            </w:r>
          </w:p>
        </w:tc>
        <w:tc>
          <w:tcPr>
            <w:tcW w:w="6678" w:type="dxa"/>
            <w:shd w:val="clear" w:color="auto" w:fill="auto"/>
          </w:tcPr>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The Issuer’s Board of Directors is currently set at one (1) director, and Alexandra Holland, the Issuer’s Chief Executive Officer, is currently the sole director.  The Issuer currently has no plans to increase the size of the Board of Directors, although the size of the Board of Directors may be increased at any time upon requisite vote of the shareholders.</w:t>
            </w:r>
          </w:p>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p>
        </w:tc>
      </w:tr>
      <w:tr w:rsidR="00C25E0F" w:rsidRPr="00532CEA" w:rsidTr="00713377">
        <w:tc>
          <w:tcPr>
            <w:tcW w:w="2898" w:type="dxa"/>
            <w:shd w:val="clear" w:color="auto" w:fill="auto"/>
          </w:tcPr>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Majority Shareholder</w:t>
            </w:r>
          </w:p>
        </w:tc>
        <w:tc>
          <w:tcPr>
            <w:tcW w:w="6678" w:type="dxa"/>
            <w:shd w:val="clear" w:color="auto" w:fill="auto"/>
          </w:tcPr>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Alexandra Holland is the current sole shareholder of the Issuer, holding 80,000 shares of Common Stock and will continue to own a majority of the Issuer’s shares of capital stock following the closing of the Transaction.</w:t>
            </w:r>
          </w:p>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p>
        </w:tc>
      </w:tr>
      <w:tr w:rsidR="00C25E0F" w:rsidRPr="00532CEA" w:rsidTr="00713377">
        <w:tc>
          <w:tcPr>
            <w:tcW w:w="2898" w:type="dxa"/>
            <w:shd w:val="clear" w:color="auto" w:fill="auto"/>
          </w:tcPr>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Transferability</w:t>
            </w:r>
          </w:p>
        </w:tc>
        <w:tc>
          <w:tcPr>
            <w:tcW w:w="6678" w:type="dxa"/>
            <w:shd w:val="clear" w:color="auto" w:fill="auto"/>
          </w:tcPr>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There is no public market for the Common Stock or Preferred Stock, and the shares are subject to restrictions on transfer as set forth in the Shareholders Agreement.</w:t>
            </w:r>
          </w:p>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p>
        </w:tc>
      </w:tr>
      <w:tr w:rsidR="00C25E0F" w:rsidRPr="00532CEA" w:rsidTr="00713377">
        <w:tc>
          <w:tcPr>
            <w:tcW w:w="2898" w:type="dxa"/>
            <w:shd w:val="clear" w:color="auto" w:fill="auto"/>
          </w:tcPr>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Right of First Refusal</w:t>
            </w:r>
          </w:p>
        </w:tc>
        <w:tc>
          <w:tcPr>
            <w:tcW w:w="6678" w:type="dxa"/>
            <w:shd w:val="clear" w:color="auto" w:fill="auto"/>
          </w:tcPr>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Potential sales of Common Stock and Preferred Stock are subject to a right of first refusal in favor of the Issuer and the other shareholders, as set forth in the Shareholders Agreement.</w:t>
            </w:r>
          </w:p>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p>
        </w:tc>
      </w:tr>
      <w:tr w:rsidR="00C25E0F" w:rsidRPr="00532CEA" w:rsidTr="00713377">
        <w:tc>
          <w:tcPr>
            <w:tcW w:w="2898" w:type="dxa"/>
            <w:shd w:val="clear" w:color="auto" w:fill="auto"/>
          </w:tcPr>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Mandatory Sale</w:t>
            </w:r>
          </w:p>
        </w:tc>
        <w:tc>
          <w:tcPr>
            <w:tcW w:w="6678" w:type="dxa"/>
            <w:shd w:val="clear" w:color="auto" w:fill="auto"/>
          </w:tcPr>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If the holders of a majority of the outstanding shares of Common Stock and Preferred Stock approve certain change of control transactions with an independent third party, all other shareholders are required to consent to vote all of their shares of voting securities in favor of such transaction (including waiving appraisal or other rights they may have), as more fully set forth in the Shareholders Agreement.</w:t>
            </w:r>
          </w:p>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p>
        </w:tc>
      </w:tr>
      <w:tr w:rsidR="00C25E0F" w:rsidRPr="00532CEA" w:rsidTr="00713377">
        <w:tc>
          <w:tcPr>
            <w:tcW w:w="2898" w:type="dxa"/>
            <w:shd w:val="clear" w:color="auto" w:fill="auto"/>
          </w:tcPr>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Entity Conversion</w:t>
            </w:r>
          </w:p>
        </w:tc>
        <w:tc>
          <w:tcPr>
            <w:tcW w:w="6678" w:type="dxa"/>
            <w:shd w:val="clear" w:color="auto" w:fill="auto"/>
          </w:tcPr>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The Issuer may, for tax purposes, elect to the convert the Issuer from its current corporate form into a limited liability company, upon the terms set forth in the Shareholders Agreement. By executing the Shareholders Agreement, Investors agree to such a conversion.</w:t>
            </w:r>
          </w:p>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p>
        </w:tc>
      </w:tr>
      <w:tr w:rsidR="00C25E0F" w:rsidRPr="00532CEA" w:rsidTr="00713377">
        <w:tc>
          <w:tcPr>
            <w:tcW w:w="2898" w:type="dxa"/>
            <w:shd w:val="clear" w:color="auto" w:fill="auto"/>
          </w:tcPr>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Non-Solicitation</w:t>
            </w:r>
          </w:p>
        </w:tc>
        <w:tc>
          <w:tcPr>
            <w:tcW w:w="6678" w:type="dxa"/>
            <w:shd w:val="clear" w:color="auto" w:fill="auto"/>
          </w:tcPr>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The Shareholders Agreement contains a covenant, applicable to all shareholders, not to solicit customers or employees of the Issuer, among other parties, so long as such shareholder is a shareholder of the Issuer, and for a period of one (1) year thereafter.</w:t>
            </w:r>
          </w:p>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 xml:space="preserve"> </w:t>
            </w:r>
          </w:p>
        </w:tc>
      </w:tr>
      <w:tr w:rsidR="00C25E0F" w:rsidRPr="00532CEA" w:rsidTr="00713377">
        <w:tc>
          <w:tcPr>
            <w:tcW w:w="2898" w:type="dxa"/>
            <w:shd w:val="clear" w:color="auto" w:fill="auto"/>
          </w:tcPr>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Confidentiality</w:t>
            </w:r>
          </w:p>
        </w:tc>
        <w:tc>
          <w:tcPr>
            <w:tcW w:w="6678" w:type="dxa"/>
            <w:shd w:val="clear" w:color="auto" w:fill="auto"/>
          </w:tcPr>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All shareholders are required to maintain the confidentiality of the Company’s Proprietary Information (as defined in the Shareholders Agreement), so long as they are a shareholder of the Issuer and for a period of five (5) years thereafter.</w:t>
            </w:r>
          </w:p>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p>
        </w:tc>
      </w:tr>
      <w:tr w:rsidR="00C25E0F" w:rsidRPr="00532CEA" w:rsidTr="00713377">
        <w:tc>
          <w:tcPr>
            <w:tcW w:w="2898" w:type="dxa"/>
            <w:shd w:val="clear" w:color="auto" w:fill="auto"/>
          </w:tcPr>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Issuances of Additional Stock</w:t>
            </w:r>
          </w:p>
        </w:tc>
        <w:tc>
          <w:tcPr>
            <w:tcW w:w="6678" w:type="dxa"/>
            <w:shd w:val="clear" w:color="auto" w:fill="auto"/>
          </w:tcPr>
          <w:p w:rsidR="00C25E0F" w:rsidRPr="00C25E0F" w:rsidRDefault="00C25E0F" w:rsidP="00C25E0F">
            <w:pPr>
              <w:spacing w:after="0" w:line="240" w:lineRule="auto"/>
              <w:rPr>
                <w:rFonts w:ascii="Times New Roman" w:eastAsia="Times New Roman" w:hAnsi="Times New Roman" w:cs="Times New Roman"/>
                <w:color w:val="000000"/>
                <w:sz w:val="24"/>
                <w:szCs w:val="24"/>
                <w:lang w:val="en-US"/>
              </w:rPr>
            </w:pPr>
            <w:r w:rsidRPr="00C25E0F">
              <w:rPr>
                <w:rFonts w:ascii="Times New Roman" w:eastAsia="Times New Roman" w:hAnsi="Times New Roman" w:cs="Times New Roman"/>
                <w:color w:val="000000"/>
                <w:sz w:val="24"/>
                <w:szCs w:val="24"/>
                <w:lang w:val="en-US"/>
              </w:rPr>
              <w:t>The Issuer’s Board of Directors may, at any time, authorize additional issuances of its capital stock with rights and preferences that are senior to the Common Stock and Preferred Stock. No shareholder has any preemptive or anti-dilution rights with respect to such issuances.</w:t>
            </w:r>
          </w:p>
        </w:tc>
      </w:tr>
    </w:tbl>
    <w:p w:rsidR="00C25E0F" w:rsidRPr="00C25E0F" w:rsidRDefault="00C25E0F" w:rsidP="00C25E0F">
      <w:pPr>
        <w:spacing w:after="0"/>
        <w:rPr>
          <w:rFonts w:ascii="Times New Roman" w:eastAsia="Times New Roman" w:hAnsi="Times New Roman" w:cs="Times New Roman"/>
          <w:color w:val="000000"/>
          <w:sz w:val="24"/>
          <w:szCs w:val="24"/>
          <w:lang w:val="en-US"/>
        </w:rPr>
      </w:pPr>
    </w:p>
    <w:p w:rsidR="00C25E0F" w:rsidRPr="00C25E0F" w:rsidRDefault="00C25E0F" w:rsidP="00C25E0F">
      <w:pPr>
        <w:spacing w:after="0"/>
        <w:rPr>
          <w:rFonts w:ascii="Times New Roman" w:eastAsia="Times New Roman" w:hAnsi="Times New Roman" w:cs="Times New Roman"/>
          <w:sz w:val="24"/>
          <w:szCs w:val="24"/>
          <w:lang w:val="en-US"/>
        </w:rPr>
      </w:pPr>
    </w:p>
    <w:p w:rsidR="00C25E0F" w:rsidRDefault="00C25E0F" w:rsidP="00C25E0F">
      <w:pPr>
        <w:spacing w:after="0"/>
        <w:rPr>
          <w:rFonts w:ascii="Times New Roman" w:eastAsia="Times New Roman" w:hAnsi="Times New Roman" w:cs="Times New Roman"/>
          <w:b/>
          <w:sz w:val="24"/>
          <w:szCs w:val="24"/>
          <w:lang w:val="en-US"/>
        </w:rPr>
      </w:pPr>
      <w:r w:rsidRPr="00C25E0F">
        <w:rPr>
          <w:rFonts w:ascii="Times New Roman" w:eastAsia="Times New Roman" w:hAnsi="Times New Roman" w:cs="Times New Roman"/>
          <w:b/>
          <w:sz w:val="24"/>
          <w:szCs w:val="24"/>
          <w:lang w:val="en-US"/>
        </w:rPr>
        <w:t xml:space="preserve">Seed-stage valuation </w:t>
      </w:r>
    </w:p>
    <w:p w:rsidR="009049D6" w:rsidRPr="00C25E0F" w:rsidRDefault="009049D6" w:rsidP="00C25E0F">
      <w:pPr>
        <w:spacing w:after="0"/>
        <w:rPr>
          <w:rFonts w:ascii="Times New Roman" w:eastAsia="Times New Roman" w:hAnsi="Times New Roman" w:cs="Times New Roman"/>
          <w:b/>
          <w:sz w:val="24"/>
          <w:szCs w:val="24"/>
          <w:lang w:val="en-US"/>
        </w:rPr>
      </w:pPr>
    </w:p>
    <w:p w:rsidR="00C25E0F" w:rsidRPr="00C25E0F" w:rsidRDefault="009049D6" w:rsidP="00C25E0F">
      <w:pPr>
        <w:spacing w:after="0"/>
        <w:rPr>
          <w:rFonts w:ascii="Times New Roman" w:eastAsia="Times New Roman" w:hAnsi="Times New Roman" w:cs="Times New Roman"/>
          <w:sz w:val="24"/>
          <w:szCs w:val="24"/>
          <w:lang w:val="en-US"/>
        </w:rPr>
      </w:pPr>
      <w:r w:rsidRPr="009049D6">
        <w:rPr>
          <w:noProof/>
          <w:lang w:val="en-US"/>
        </w:rPr>
        <w:drawing>
          <wp:inline distT="0" distB="0" distL="0" distR="0">
            <wp:extent cx="2962275" cy="77152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62275" cy="771525"/>
                    </a:xfrm>
                    <a:prstGeom prst="rect">
                      <a:avLst/>
                    </a:prstGeom>
                    <a:noFill/>
                    <a:ln>
                      <a:noFill/>
                    </a:ln>
                  </pic:spPr>
                </pic:pic>
              </a:graphicData>
            </a:graphic>
          </wp:inline>
        </w:drawing>
      </w:r>
    </w:p>
    <w:p w:rsidR="00C25E0F" w:rsidRPr="00C25E0F" w:rsidRDefault="00C25E0F" w:rsidP="00C25E0F">
      <w:pPr>
        <w:spacing w:after="0"/>
        <w:rPr>
          <w:rFonts w:ascii="Times New Roman" w:eastAsia="Times New Roman" w:hAnsi="Times New Roman" w:cs="Times New Roman"/>
          <w:sz w:val="24"/>
          <w:szCs w:val="24"/>
          <w:lang w:val="en-US"/>
        </w:rPr>
      </w:pPr>
    </w:p>
    <w:p w:rsidR="00C25E0F" w:rsidRPr="00C25E0F" w:rsidRDefault="00C25E0F" w:rsidP="00C25E0F">
      <w:pPr>
        <w:spacing w:after="0"/>
        <w:rPr>
          <w:rFonts w:ascii="Times New Roman" w:eastAsia="Times New Roman" w:hAnsi="Times New Roman" w:cs="Times New Roman"/>
          <w:sz w:val="24"/>
          <w:szCs w:val="24"/>
          <w:lang w:val="en-US"/>
        </w:rPr>
      </w:pPr>
      <w:r w:rsidRPr="00C25E0F">
        <w:rPr>
          <w:rFonts w:ascii="Times New Roman" w:eastAsia="Times New Roman" w:hAnsi="Times New Roman" w:cs="Times New Roman"/>
          <w:sz w:val="24"/>
          <w:szCs w:val="24"/>
          <w:lang w:val="en-US"/>
        </w:rPr>
        <w:t>Where “Preferred Stocks” are “Series A Preferred Stocks”</w:t>
      </w:r>
    </w:p>
    <w:p w:rsidR="00C25E0F" w:rsidRPr="00C25E0F" w:rsidRDefault="00C25E0F" w:rsidP="00C25E0F">
      <w:pPr>
        <w:spacing w:after="0"/>
        <w:rPr>
          <w:rFonts w:ascii="Times New Roman" w:eastAsia="Times New Roman" w:hAnsi="Times New Roman" w:cs="Times New Roman"/>
          <w:sz w:val="24"/>
          <w:szCs w:val="24"/>
          <w:lang w:val="en-US"/>
        </w:rPr>
      </w:pPr>
    </w:p>
    <w:p w:rsidR="00C25E0F" w:rsidRPr="00C25E0F" w:rsidRDefault="00C25E0F" w:rsidP="00C25E0F">
      <w:pPr>
        <w:spacing w:after="0"/>
        <w:rPr>
          <w:rFonts w:ascii="Times New Roman" w:eastAsia="Times New Roman" w:hAnsi="Times New Roman" w:cs="Times New Roman"/>
          <w:b/>
          <w:sz w:val="24"/>
          <w:szCs w:val="24"/>
          <w:lang w:val="en-US"/>
        </w:rPr>
      </w:pPr>
      <w:r w:rsidRPr="00C25E0F">
        <w:rPr>
          <w:rFonts w:ascii="Times New Roman" w:eastAsia="Times New Roman" w:hAnsi="Times New Roman" w:cs="Times New Roman"/>
          <w:b/>
          <w:sz w:val="24"/>
          <w:szCs w:val="24"/>
          <w:lang w:val="en-US"/>
        </w:rPr>
        <w:t>Dividend structure</w:t>
      </w:r>
    </w:p>
    <w:p w:rsidR="00C25E0F" w:rsidRPr="00C25E0F" w:rsidRDefault="00C25E0F" w:rsidP="00C25E0F">
      <w:pPr>
        <w:spacing w:after="0"/>
        <w:rPr>
          <w:rFonts w:ascii="Times New Roman" w:eastAsia="Times New Roman" w:hAnsi="Times New Roman" w:cs="Times New Roman"/>
          <w:b/>
          <w:sz w:val="24"/>
          <w:szCs w:val="24"/>
          <w:lang w:val="en-US"/>
        </w:rPr>
      </w:pPr>
    </w:p>
    <w:p w:rsidR="00C25E0F" w:rsidRPr="00C25E0F" w:rsidRDefault="00C25E0F" w:rsidP="00C25E0F">
      <w:pPr>
        <w:spacing w:after="0"/>
        <w:rPr>
          <w:rFonts w:ascii="Garamond" w:eastAsia="Calibri" w:hAnsi="Garamond" w:cs="Times New Roman"/>
          <w:sz w:val="24"/>
          <w:szCs w:val="24"/>
          <w:lang w:val="en-US"/>
        </w:rPr>
      </w:pPr>
      <w:r w:rsidRPr="00C25E0F">
        <w:rPr>
          <w:rFonts w:ascii="Times New Roman" w:eastAsia="Times New Roman" w:hAnsi="Times New Roman" w:cs="Times New Roman"/>
          <w:sz w:val="24"/>
          <w:szCs w:val="24"/>
          <w:lang w:val="en-US"/>
        </w:rPr>
        <w:t>Please refer to the Section 3A of the business plan.</w:t>
      </w:r>
    </w:p>
    <w:p w:rsidR="00C25E0F" w:rsidRDefault="00C25E0F" w:rsidP="00625158">
      <w:pPr>
        <w:rPr>
          <w:rFonts w:asciiTheme="majorHAnsi" w:eastAsiaTheme="majorEastAsia" w:hAnsiTheme="majorHAnsi" w:cstheme="majorBidi"/>
          <w:sz w:val="26"/>
          <w:szCs w:val="26"/>
          <w:lang w:val="en-US"/>
        </w:rPr>
      </w:pPr>
    </w:p>
    <w:p w:rsidR="00C25E0F" w:rsidRPr="00625158" w:rsidRDefault="00C25E0F" w:rsidP="00625158">
      <w:pPr>
        <w:rPr>
          <w:rFonts w:asciiTheme="majorHAnsi" w:eastAsiaTheme="majorEastAsia" w:hAnsiTheme="majorHAnsi" w:cstheme="majorBidi"/>
          <w:sz w:val="26"/>
          <w:szCs w:val="26"/>
          <w:lang w:val="en-US"/>
        </w:rPr>
        <w:sectPr w:rsidR="00C25E0F" w:rsidRPr="00625158" w:rsidSect="004C2568">
          <w:headerReference w:type="default" r:id="rId51"/>
          <w:footerReference w:type="default" r:id="rId52"/>
          <w:pgSz w:w="12240" w:h="15840"/>
          <w:pgMar w:top="1440" w:right="1440" w:bottom="1440" w:left="1440" w:header="720" w:footer="720" w:gutter="0"/>
          <w:pgNumType w:start="1"/>
          <w:cols w:space="720"/>
          <w:docGrid w:linePitch="360"/>
        </w:sectPr>
      </w:pPr>
    </w:p>
    <w:p w:rsidR="00892EA8" w:rsidRPr="00892EA8" w:rsidRDefault="00892EA8" w:rsidP="00BD6FC5">
      <w:pPr>
        <w:spacing w:after="0" w:line="240" w:lineRule="auto"/>
        <w:jc w:val="center"/>
        <w:rPr>
          <w:rFonts w:ascii="Garamond" w:eastAsia="Times New Roman" w:hAnsi="Garamond" w:cs="Times New Roman"/>
          <w:sz w:val="36"/>
          <w:szCs w:val="36"/>
          <w:lang w:val="en-US"/>
        </w:rPr>
      </w:pPr>
      <w:r w:rsidRPr="00892EA8">
        <w:rPr>
          <w:rFonts w:ascii="Garamond" w:eastAsia="Times New Roman" w:hAnsi="Garamond" w:cs="Times New Roman"/>
          <w:noProof/>
          <w:sz w:val="24"/>
          <w:szCs w:val="24"/>
          <w:lang w:val="en-US"/>
        </w:rPr>
        <w:drawing>
          <wp:anchor distT="0" distB="0" distL="114300" distR="114300" simplePos="0" relativeHeight="251672576" behindDoc="0" locked="0" layoutInCell="1" allowOverlap="1" wp14:anchorId="4BF94A44" wp14:editId="35A2EB7E">
            <wp:simplePos x="0" y="0"/>
            <wp:positionH relativeFrom="margin">
              <wp:align>right</wp:align>
            </wp:positionH>
            <wp:positionV relativeFrom="paragraph">
              <wp:posOffset>-19050</wp:posOffset>
            </wp:positionV>
            <wp:extent cx="1132256" cy="1114425"/>
            <wp:effectExtent l="0" t="0" r="0" b="0"/>
            <wp:wrapNone/>
            <wp:docPr id="165" name="Picture 165" descr="C:\Users\alexandra\Desktop\141014 Latest RVC offering\Alex RVC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Desktop\141014 Latest RVC offering\Alex RVC portrait.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32256"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2EA8">
        <w:rPr>
          <w:rFonts w:ascii="Garamond" w:eastAsia="Times New Roman" w:hAnsi="Garamond" w:cs="Times New Roman"/>
          <w:sz w:val="36"/>
          <w:szCs w:val="36"/>
          <w:lang w:val="en-US"/>
        </w:rPr>
        <w:t>Alexandra D. Holland, PhD</w:t>
      </w:r>
    </w:p>
    <w:p w:rsidR="00892EA8" w:rsidRPr="00892EA8" w:rsidRDefault="00892EA8" w:rsidP="00BD6FC5">
      <w:pPr>
        <w:spacing w:after="0" w:line="240" w:lineRule="auto"/>
        <w:jc w:val="center"/>
        <w:rPr>
          <w:rFonts w:ascii="Garamond" w:eastAsia="Times New Roman" w:hAnsi="Garamond" w:cs="Times New Roman"/>
          <w:sz w:val="28"/>
          <w:szCs w:val="28"/>
          <w:lang w:val="en-US"/>
        </w:rPr>
      </w:pPr>
      <w:r w:rsidRPr="00892EA8">
        <w:rPr>
          <w:rFonts w:ascii="Garamond" w:eastAsia="Times New Roman" w:hAnsi="Garamond" w:cs="Times New Roman"/>
          <w:sz w:val="28"/>
          <w:szCs w:val="28"/>
          <w:lang w:val="en-US"/>
        </w:rPr>
        <w:t>PIARCS, PBC founder and CEO</w:t>
      </w:r>
    </w:p>
    <w:p w:rsidR="00892EA8" w:rsidRPr="00892EA8" w:rsidRDefault="00892EA8" w:rsidP="00BD6FC5">
      <w:pPr>
        <w:tabs>
          <w:tab w:val="right" w:pos="9360"/>
        </w:tabs>
        <w:spacing w:after="0" w:line="240" w:lineRule="auto"/>
        <w:jc w:val="center"/>
        <w:rPr>
          <w:rFonts w:ascii="Garamond" w:eastAsia="Times New Roman" w:hAnsi="Garamond" w:cs="Times New Roman"/>
          <w:sz w:val="24"/>
          <w:szCs w:val="24"/>
          <w:lang w:val="en-US"/>
        </w:rPr>
      </w:pPr>
      <w:r w:rsidRPr="00892EA8">
        <w:rPr>
          <w:rFonts w:ascii="Garamond" w:eastAsia="Times New Roman" w:hAnsi="Garamond" w:cs="Times New Roman"/>
          <w:sz w:val="24"/>
          <w:szCs w:val="24"/>
          <w:lang w:val="en-US"/>
        </w:rPr>
        <w:t>3190 29th Street</w:t>
      </w:r>
    </w:p>
    <w:p w:rsidR="00892EA8" w:rsidRPr="00892EA8" w:rsidRDefault="00892EA8" w:rsidP="00BD6FC5">
      <w:pPr>
        <w:tabs>
          <w:tab w:val="right" w:pos="9360"/>
        </w:tabs>
        <w:spacing w:after="0" w:line="240" w:lineRule="auto"/>
        <w:jc w:val="center"/>
        <w:rPr>
          <w:rFonts w:ascii="Garamond" w:eastAsia="Times New Roman" w:hAnsi="Garamond" w:cs="Times New Roman"/>
          <w:sz w:val="24"/>
          <w:szCs w:val="24"/>
          <w:lang w:val="en-US"/>
        </w:rPr>
      </w:pPr>
      <w:r w:rsidRPr="00892EA8">
        <w:rPr>
          <w:rFonts w:ascii="Garamond" w:eastAsia="Times New Roman" w:hAnsi="Garamond" w:cs="Times New Roman"/>
          <w:sz w:val="24"/>
          <w:szCs w:val="24"/>
          <w:lang w:val="en-US"/>
        </w:rPr>
        <w:t>Boulder, CO 80310</w:t>
      </w:r>
    </w:p>
    <w:p w:rsidR="00892EA8" w:rsidRPr="00892EA8" w:rsidRDefault="00892EA8" w:rsidP="00BD6FC5">
      <w:pPr>
        <w:tabs>
          <w:tab w:val="right" w:pos="9360"/>
        </w:tabs>
        <w:spacing w:after="0" w:line="240" w:lineRule="auto"/>
        <w:jc w:val="center"/>
        <w:rPr>
          <w:rFonts w:ascii="Garamond" w:eastAsia="Times New Roman" w:hAnsi="Garamond" w:cs="Times New Roman"/>
          <w:sz w:val="24"/>
          <w:szCs w:val="24"/>
          <w:u w:val="single"/>
          <w:lang w:val="en-US"/>
        </w:rPr>
      </w:pPr>
      <w:r w:rsidRPr="00892EA8">
        <w:rPr>
          <w:rFonts w:ascii="Garamond" w:eastAsia="Times New Roman" w:hAnsi="Garamond" w:cs="Times New Roman"/>
          <w:sz w:val="24"/>
          <w:szCs w:val="24"/>
          <w:u w:val="single"/>
          <w:lang w:val="en-US"/>
        </w:rPr>
        <w:t>holland@piarcs.org</w:t>
      </w:r>
    </w:p>
    <w:p w:rsidR="00892EA8" w:rsidRPr="00892EA8" w:rsidRDefault="00892EA8" w:rsidP="00BD6FC5">
      <w:pPr>
        <w:tabs>
          <w:tab w:val="right" w:pos="9360"/>
        </w:tabs>
        <w:spacing w:after="0" w:line="240" w:lineRule="auto"/>
        <w:jc w:val="center"/>
        <w:rPr>
          <w:rFonts w:ascii="Garamond" w:eastAsia="Times New Roman" w:hAnsi="Garamond" w:cs="Times New Roman"/>
          <w:sz w:val="24"/>
          <w:szCs w:val="24"/>
          <w:lang w:val="en-US"/>
        </w:rPr>
      </w:pPr>
      <w:r w:rsidRPr="00892EA8">
        <w:rPr>
          <w:rFonts w:ascii="Garamond" w:eastAsia="Times New Roman" w:hAnsi="Garamond" w:cs="Times New Roman"/>
          <w:sz w:val="24"/>
          <w:szCs w:val="24"/>
          <w:lang w:val="en-US"/>
        </w:rPr>
        <w:t>(562) 310-7570</w:t>
      </w:r>
    </w:p>
    <w:p w:rsidR="00892EA8" w:rsidRPr="00892EA8" w:rsidRDefault="00892EA8" w:rsidP="00BD6FC5">
      <w:pPr>
        <w:tabs>
          <w:tab w:val="left" w:pos="4737"/>
          <w:tab w:val="right" w:pos="9360"/>
        </w:tabs>
        <w:spacing w:after="0" w:line="240" w:lineRule="auto"/>
        <w:rPr>
          <w:rFonts w:ascii="Garamond" w:eastAsia="Times New Roman" w:hAnsi="Garamond" w:cs="Times New Roman"/>
          <w:lang w:val="en-US"/>
        </w:rPr>
      </w:pPr>
      <w:r w:rsidRPr="00892EA8">
        <w:rPr>
          <w:rFonts w:ascii="Garamond" w:eastAsia="Times New Roman" w:hAnsi="Garamond" w:cs="Times New Roman"/>
          <w:lang w:val="en-US"/>
        </w:rPr>
        <w:tab/>
      </w:r>
    </w:p>
    <w:p w:rsidR="00892EA8" w:rsidRPr="00892EA8" w:rsidRDefault="00892EA8" w:rsidP="00BD6FC5">
      <w:pPr>
        <w:spacing w:before="120" w:after="0" w:line="360" w:lineRule="auto"/>
        <w:rPr>
          <w:rFonts w:ascii="Garamond" w:eastAsia="Times New Roman" w:hAnsi="Garamond" w:cs="Times New Roman"/>
          <w:lang w:val="en-US"/>
        </w:rPr>
      </w:pPr>
      <w:r w:rsidRPr="00892EA8">
        <w:rPr>
          <w:rFonts w:ascii="Garamond" w:eastAsia="Times New Roman" w:hAnsi="Garamond" w:cs="Times New Roman"/>
          <w:b/>
          <w:lang w:val="en-US"/>
        </w:rPr>
        <w:t>Education</w:t>
      </w:r>
    </w:p>
    <w:p w:rsidR="00892EA8" w:rsidRPr="00892EA8" w:rsidRDefault="00892EA8" w:rsidP="00BD6FC5">
      <w:pPr>
        <w:spacing w:before="120" w:after="40" w:line="360" w:lineRule="auto"/>
        <w:rPr>
          <w:rFonts w:ascii="Garamond" w:eastAsia="Times New Roman" w:hAnsi="Garamond" w:cs="Times New Roman"/>
          <w:lang w:val="en-US"/>
        </w:rPr>
      </w:pPr>
      <w:r w:rsidRPr="00892EA8">
        <w:rPr>
          <w:rFonts w:ascii="Garamond" w:eastAsia="Times New Roman" w:hAnsi="Garamond" w:cs="Times New Roman"/>
          <w:lang w:val="en-US"/>
        </w:rPr>
        <w:t>PhD in Chemical Engineering</w:t>
      </w:r>
      <w:r w:rsidRPr="00892EA8">
        <w:rPr>
          <w:rFonts w:ascii="Garamond" w:eastAsia="Times New Roman" w:hAnsi="Garamond" w:cs="Times New Roman"/>
          <w:lang w:val="en-US"/>
        </w:rPr>
        <w:tab/>
      </w:r>
      <w:r>
        <w:rPr>
          <w:rFonts w:ascii="Garamond" w:eastAsia="Times New Roman" w:hAnsi="Garamond" w:cs="Times New Roman"/>
          <w:lang w:val="en-US"/>
        </w:rPr>
        <w:tab/>
      </w:r>
      <w:r w:rsidRPr="00892EA8">
        <w:rPr>
          <w:rFonts w:ascii="Garamond" w:eastAsia="Times New Roman" w:hAnsi="Garamond" w:cs="Times New Roman"/>
          <w:lang w:val="en-US"/>
        </w:rPr>
        <w:t xml:space="preserve">University of Washington, WA, USA </w:t>
      </w:r>
      <w:r w:rsidRPr="00892EA8">
        <w:rPr>
          <w:rFonts w:ascii="Garamond" w:eastAsia="Times New Roman" w:hAnsi="Garamond" w:cs="Times New Roman"/>
          <w:lang w:val="en-US"/>
        </w:rPr>
        <w:tab/>
      </w:r>
      <w:r w:rsidRPr="00892EA8">
        <w:rPr>
          <w:rFonts w:ascii="Garamond" w:eastAsia="Times New Roman" w:hAnsi="Garamond" w:cs="Times New Roman"/>
          <w:lang w:val="en-US"/>
        </w:rPr>
        <w:tab/>
        <w:t>2001-2007</w:t>
      </w:r>
    </w:p>
    <w:p w:rsidR="00892EA8" w:rsidRPr="00892EA8" w:rsidRDefault="00892EA8" w:rsidP="00BD6FC5">
      <w:pPr>
        <w:spacing w:after="40" w:line="360" w:lineRule="auto"/>
        <w:rPr>
          <w:rFonts w:ascii="Garamond" w:eastAsia="Times New Roman" w:hAnsi="Garamond" w:cs="Times New Roman"/>
          <w:lang w:val="en-US"/>
        </w:rPr>
      </w:pPr>
      <w:r w:rsidRPr="00892EA8">
        <w:rPr>
          <w:rFonts w:ascii="Garamond" w:eastAsia="Times New Roman" w:hAnsi="Garamond" w:cs="Times New Roman"/>
          <w:lang w:val="en-US"/>
        </w:rPr>
        <w:t>BS Chemical Engineering with Honors</w:t>
      </w:r>
      <w:r w:rsidRPr="00892EA8">
        <w:rPr>
          <w:rFonts w:ascii="Garamond" w:eastAsia="Times New Roman" w:hAnsi="Garamond" w:cs="Times New Roman"/>
          <w:lang w:val="en-US"/>
        </w:rPr>
        <w:tab/>
        <w:t xml:space="preserve">UC Berkeley, CA, USA </w:t>
      </w:r>
      <w:r w:rsidRPr="00892EA8">
        <w:rPr>
          <w:rFonts w:ascii="Garamond" w:eastAsia="Times New Roman" w:hAnsi="Garamond" w:cs="Times New Roman"/>
          <w:lang w:val="en-US"/>
        </w:rPr>
        <w:tab/>
      </w:r>
      <w:r w:rsidRPr="00892EA8">
        <w:rPr>
          <w:rFonts w:ascii="Garamond" w:eastAsia="Times New Roman" w:hAnsi="Garamond" w:cs="Times New Roman"/>
          <w:lang w:val="en-US"/>
        </w:rPr>
        <w:tab/>
      </w:r>
      <w:r w:rsidRPr="00892EA8">
        <w:rPr>
          <w:rFonts w:ascii="Garamond" w:eastAsia="Times New Roman" w:hAnsi="Garamond" w:cs="Times New Roman"/>
          <w:lang w:val="en-US"/>
        </w:rPr>
        <w:tab/>
      </w:r>
      <w:r w:rsidRPr="00892EA8">
        <w:rPr>
          <w:rFonts w:ascii="Garamond" w:eastAsia="Times New Roman" w:hAnsi="Garamond" w:cs="Times New Roman"/>
          <w:lang w:val="en-US"/>
        </w:rPr>
        <w:tab/>
        <w:t>1997-2001</w:t>
      </w:r>
    </w:p>
    <w:p w:rsidR="00892EA8" w:rsidRPr="00892EA8" w:rsidRDefault="00892EA8" w:rsidP="00BD6FC5">
      <w:pPr>
        <w:spacing w:after="40" w:line="360" w:lineRule="auto"/>
        <w:rPr>
          <w:rFonts w:ascii="Garamond" w:eastAsia="Times New Roman" w:hAnsi="Garamond" w:cs="Times New Roman"/>
        </w:rPr>
      </w:pPr>
      <w:r w:rsidRPr="00892EA8">
        <w:rPr>
          <w:rFonts w:ascii="Garamond" w:eastAsia="Times New Roman" w:hAnsi="Garamond" w:cs="Times New Roman"/>
        </w:rPr>
        <w:t xml:space="preserve">Baccalauréat Scientifique (France) </w:t>
      </w:r>
      <w:r w:rsidRPr="00892EA8">
        <w:rPr>
          <w:rFonts w:ascii="Garamond" w:eastAsia="Times New Roman" w:hAnsi="Garamond" w:cs="Times New Roman"/>
        </w:rPr>
        <w:tab/>
        <w:t>Lycée Henri IV, Paris, France</w:t>
      </w:r>
      <w:r w:rsidRPr="00892EA8">
        <w:rPr>
          <w:rFonts w:ascii="Garamond" w:eastAsia="Times New Roman" w:hAnsi="Garamond" w:cs="Times New Roman"/>
        </w:rPr>
        <w:tab/>
      </w:r>
      <w:r w:rsidRPr="00892EA8">
        <w:rPr>
          <w:rFonts w:ascii="Garamond" w:eastAsia="Times New Roman" w:hAnsi="Garamond" w:cs="Times New Roman"/>
        </w:rPr>
        <w:tab/>
      </w:r>
      <w:r w:rsidRPr="00892EA8">
        <w:rPr>
          <w:rFonts w:ascii="Garamond" w:eastAsia="Times New Roman" w:hAnsi="Garamond" w:cs="Times New Roman"/>
        </w:rPr>
        <w:tab/>
        <w:t>1995</w:t>
      </w:r>
    </w:p>
    <w:p w:rsidR="00892EA8" w:rsidRPr="00892EA8" w:rsidRDefault="00892EA8" w:rsidP="00BD6FC5">
      <w:pPr>
        <w:spacing w:after="40" w:line="240" w:lineRule="auto"/>
        <w:rPr>
          <w:rFonts w:ascii="Garamond" w:eastAsia="Times New Roman" w:hAnsi="Garamond" w:cs="Times New Roman"/>
          <w:b/>
        </w:rPr>
      </w:pPr>
    </w:p>
    <w:p w:rsidR="00892EA8" w:rsidRPr="00892EA8" w:rsidRDefault="00892EA8" w:rsidP="00BD6FC5">
      <w:pPr>
        <w:spacing w:after="0" w:line="360" w:lineRule="auto"/>
        <w:rPr>
          <w:rFonts w:ascii="Garamond" w:eastAsia="Times New Roman" w:hAnsi="Garamond" w:cs="Times New Roman"/>
          <w:lang w:val="en-US"/>
        </w:rPr>
      </w:pPr>
      <w:r w:rsidRPr="00892EA8">
        <w:rPr>
          <w:rFonts w:ascii="Garamond" w:eastAsia="Times New Roman" w:hAnsi="Garamond" w:cs="Times New Roman"/>
          <w:b/>
          <w:lang w:val="en-US"/>
        </w:rPr>
        <w:t xml:space="preserve">Honors and Fellowships </w:t>
      </w:r>
    </w:p>
    <w:p w:rsidR="00892EA8" w:rsidRPr="00892EA8" w:rsidRDefault="00892EA8" w:rsidP="00BD6FC5">
      <w:pPr>
        <w:spacing w:before="120" w:after="40" w:line="360" w:lineRule="auto"/>
        <w:rPr>
          <w:rFonts w:ascii="Garamond" w:eastAsia="Times New Roman" w:hAnsi="Garamond" w:cs="Times New Roman"/>
          <w:lang w:val="en-US"/>
        </w:rPr>
      </w:pPr>
      <w:r w:rsidRPr="00892EA8">
        <w:rPr>
          <w:rFonts w:ascii="Garamond" w:eastAsia="Times New Roman" w:hAnsi="Garamond" w:cs="Times New Roman"/>
          <w:lang w:val="en-US"/>
        </w:rPr>
        <w:t>Foundation Fourmentin Fellow with Prof. Danchin at the Institut Pasteur (Paris)</w:t>
      </w:r>
      <w:r w:rsidRPr="00892EA8">
        <w:rPr>
          <w:rFonts w:ascii="Garamond" w:eastAsia="Times New Roman" w:hAnsi="Garamond" w:cs="Times New Roman"/>
          <w:lang w:val="en-US"/>
        </w:rPr>
        <w:tab/>
      </w:r>
      <w:r w:rsidRPr="00892EA8">
        <w:rPr>
          <w:rFonts w:ascii="Garamond" w:eastAsia="Times New Roman" w:hAnsi="Garamond" w:cs="Times New Roman"/>
          <w:lang w:val="en-US"/>
        </w:rPr>
        <w:tab/>
        <w:t xml:space="preserve">2009 </w:t>
      </w:r>
    </w:p>
    <w:p w:rsidR="00892EA8" w:rsidRPr="00892EA8" w:rsidRDefault="00892EA8" w:rsidP="00BD6FC5">
      <w:pPr>
        <w:spacing w:after="40" w:line="240" w:lineRule="auto"/>
        <w:ind w:left="360" w:hanging="360"/>
        <w:rPr>
          <w:rFonts w:ascii="Garamond" w:eastAsia="Times New Roman" w:hAnsi="Garamond" w:cs="Times New Roman"/>
          <w:lang w:val="en-US"/>
        </w:rPr>
      </w:pPr>
      <w:r w:rsidRPr="00892EA8">
        <w:rPr>
          <w:rFonts w:ascii="Garamond" w:eastAsia="Times New Roman" w:hAnsi="Garamond" w:cs="Times New Roman"/>
          <w:lang w:val="en-US"/>
        </w:rPr>
        <w:t>NSF International IGERT Fellow at the U. of Washington</w:t>
      </w:r>
      <w:r w:rsidRPr="00892EA8">
        <w:rPr>
          <w:rFonts w:ascii="Garamond" w:eastAsia="Times New Roman" w:hAnsi="Garamond" w:cs="Times New Roman"/>
          <w:lang w:val="en-US"/>
        </w:rPr>
        <w:tab/>
      </w:r>
      <w:r>
        <w:rPr>
          <w:rFonts w:ascii="Garamond" w:eastAsia="Times New Roman" w:hAnsi="Garamond" w:cs="Times New Roman"/>
          <w:lang w:val="en-US"/>
        </w:rPr>
        <w:tab/>
      </w:r>
      <w:r w:rsidRPr="00892EA8">
        <w:rPr>
          <w:rFonts w:ascii="Garamond" w:eastAsia="Times New Roman" w:hAnsi="Garamond" w:cs="Times New Roman"/>
          <w:lang w:val="en-US"/>
        </w:rPr>
        <w:tab/>
      </w:r>
      <w:r w:rsidRPr="00892EA8">
        <w:rPr>
          <w:rFonts w:ascii="Garamond" w:eastAsia="Times New Roman" w:hAnsi="Garamond" w:cs="Times New Roman"/>
          <w:lang w:val="en-US"/>
        </w:rPr>
        <w:tab/>
      </w:r>
      <w:r w:rsidRPr="00892EA8">
        <w:rPr>
          <w:rFonts w:ascii="Garamond" w:eastAsia="Times New Roman" w:hAnsi="Garamond" w:cs="Times New Roman"/>
          <w:lang w:val="en-US"/>
        </w:rPr>
        <w:tab/>
        <w:t>2006-2007</w:t>
      </w:r>
    </w:p>
    <w:p w:rsidR="00892EA8" w:rsidRPr="00892EA8" w:rsidRDefault="00892EA8" w:rsidP="00BD6FC5">
      <w:pPr>
        <w:spacing w:after="0" w:line="240" w:lineRule="auto"/>
        <w:ind w:left="360"/>
        <w:rPr>
          <w:rFonts w:ascii="Garamond" w:eastAsia="Times New Roman" w:hAnsi="Garamond" w:cs="Times New Roman"/>
          <w:lang w:val="en-US"/>
        </w:rPr>
      </w:pPr>
      <w:r w:rsidRPr="00892EA8">
        <w:rPr>
          <w:rFonts w:ascii="Garamond" w:eastAsia="Times New Roman" w:hAnsi="Garamond" w:cs="Times New Roman"/>
          <w:lang w:val="en-US"/>
        </w:rPr>
        <w:t>“Multinational Collaboration on Challenges to the Environment”</w:t>
      </w:r>
    </w:p>
    <w:p w:rsidR="00892EA8" w:rsidRPr="00892EA8" w:rsidRDefault="00892EA8" w:rsidP="00BD6FC5">
      <w:pPr>
        <w:spacing w:before="120" w:after="40" w:line="360" w:lineRule="auto"/>
        <w:rPr>
          <w:rFonts w:ascii="Garamond" w:eastAsia="Times New Roman" w:hAnsi="Garamond" w:cs="Times New Roman"/>
          <w:lang w:val="en-US"/>
        </w:rPr>
      </w:pPr>
      <w:r w:rsidRPr="00892EA8">
        <w:rPr>
          <w:rFonts w:ascii="Garamond" w:eastAsia="Times New Roman" w:hAnsi="Garamond" w:cs="Times New Roman"/>
          <w:lang w:val="en-US"/>
        </w:rPr>
        <w:t>NSF GRFP (Graduate Research Fellowship Program) Fellow at the U. of Washington</w:t>
      </w:r>
      <w:r w:rsidRPr="00892EA8">
        <w:rPr>
          <w:rFonts w:ascii="Garamond" w:eastAsia="Times New Roman" w:hAnsi="Garamond" w:cs="Times New Roman"/>
          <w:lang w:val="en-US"/>
        </w:rPr>
        <w:tab/>
        <w:t>2002-2005</w:t>
      </w:r>
    </w:p>
    <w:p w:rsidR="00892EA8" w:rsidRPr="00892EA8" w:rsidRDefault="00892EA8" w:rsidP="00BD6FC5">
      <w:pPr>
        <w:spacing w:after="40" w:line="360" w:lineRule="auto"/>
        <w:rPr>
          <w:rFonts w:ascii="Garamond" w:eastAsia="Times New Roman" w:hAnsi="Garamond" w:cs="Times New Roman"/>
          <w:lang w:val="en-US"/>
        </w:rPr>
      </w:pPr>
      <w:r w:rsidRPr="00892EA8">
        <w:rPr>
          <w:rFonts w:ascii="Garamond" w:eastAsia="Times New Roman" w:hAnsi="Garamond" w:cs="Times New Roman"/>
          <w:lang w:val="en-US"/>
        </w:rPr>
        <w:t>Achievement Reward for Research Scientist Fellow at the U. of Washington</w:t>
      </w:r>
      <w:r w:rsidRPr="00892EA8">
        <w:rPr>
          <w:rFonts w:ascii="Garamond" w:eastAsia="Times New Roman" w:hAnsi="Garamond" w:cs="Times New Roman"/>
          <w:lang w:val="en-US"/>
        </w:rPr>
        <w:tab/>
      </w:r>
      <w:r w:rsidRPr="00892EA8">
        <w:rPr>
          <w:rFonts w:ascii="Garamond" w:eastAsia="Times New Roman" w:hAnsi="Garamond" w:cs="Times New Roman"/>
          <w:lang w:val="en-US"/>
        </w:rPr>
        <w:tab/>
      </w:r>
      <w:r w:rsidRPr="00892EA8">
        <w:rPr>
          <w:rFonts w:ascii="Garamond" w:eastAsia="Times New Roman" w:hAnsi="Garamond" w:cs="Times New Roman"/>
          <w:lang w:val="en-US"/>
        </w:rPr>
        <w:tab/>
        <w:t>2001-2004</w:t>
      </w:r>
    </w:p>
    <w:p w:rsidR="00892EA8" w:rsidRPr="00892EA8" w:rsidRDefault="00892EA8" w:rsidP="00BD6FC5">
      <w:pPr>
        <w:spacing w:after="40" w:line="360" w:lineRule="auto"/>
        <w:rPr>
          <w:rFonts w:ascii="Garamond" w:eastAsia="Times New Roman" w:hAnsi="Garamond" w:cs="Times New Roman"/>
          <w:lang w:val="en-US"/>
        </w:rPr>
      </w:pPr>
      <w:r w:rsidRPr="00892EA8">
        <w:rPr>
          <w:rFonts w:ascii="Garamond" w:eastAsia="Times New Roman" w:hAnsi="Garamond" w:cs="Times New Roman"/>
          <w:lang w:val="en-US"/>
        </w:rPr>
        <w:t>UC Berkeley President's Undergraduate Fellowship (funding for independent research)</w:t>
      </w:r>
      <w:r w:rsidRPr="00892EA8">
        <w:rPr>
          <w:rFonts w:ascii="Garamond" w:eastAsia="Times New Roman" w:hAnsi="Garamond" w:cs="Times New Roman"/>
          <w:lang w:val="en-US"/>
        </w:rPr>
        <w:tab/>
        <w:t>2000-2001</w:t>
      </w:r>
    </w:p>
    <w:p w:rsidR="00892EA8" w:rsidRPr="00892EA8" w:rsidRDefault="00892EA8" w:rsidP="00BD6FC5">
      <w:pPr>
        <w:spacing w:after="40" w:line="360" w:lineRule="auto"/>
        <w:rPr>
          <w:rFonts w:ascii="Garamond" w:eastAsia="Times New Roman" w:hAnsi="Garamond" w:cs="Times New Roman"/>
          <w:lang w:val="en-US"/>
        </w:rPr>
      </w:pPr>
      <w:r w:rsidRPr="00892EA8">
        <w:rPr>
          <w:rFonts w:ascii="Garamond" w:eastAsia="Times New Roman" w:hAnsi="Garamond" w:cs="Times New Roman"/>
          <w:lang w:val="en-US"/>
        </w:rPr>
        <w:t xml:space="preserve">American Institute of Chemical Engineers UC Berkeley Outstanding Senior Award </w:t>
      </w:r>
      <w:r w:rsidRPr="00892EA8">
        <w:rPr>
          <w:rFonts w:ascii="Garamond" w:eastAsia="Times New Roman" w:hAnsi="Garamond" w:cs="Times New Roman"/>
          <w:lang w:val="en-US"/>
        </w:rPr>
        <w:tab/>
      </w:r>
      <w:r w:rsidRPr="00892EA8">
        <w:rPr>
          <w:rFonts w:ascii="Garamond" w:eastAsia="Times New Roman" w:hAnsi="Garamond" w:cs="Times New Roman"/>
          <w:lang w:val="en-US"/>
        </w:rPr>
        <w:tab/>
        <w:t xml:space="preserve">2001 </w:t>
      </w:r>
    </w:p>
    <w:p w:rsidR="00892EA8" w:rsidRPr="00892EA8" w:rsidRDefault="00892EA8" w:rsidP="00BD6FC5">
      <w:pPr>
        <w:spacing w:after="40" w:line="360" w:lineRule="auto"/>
        <w:rPr>
          <w:rFonts w:ascii="Garamond" w:eastAsia="Times New Roman" w:hAnsi="Garamond" w:cs="Times New Roman"/>
          <w:sz w:val="24"/>
          <w:szCs w:val="24"/>
          <w:lang w:val="en-US"/>
        </w:rPr>
      </w:pPr>
      <w:r w:rsidRPr="00892EA8">
        <w:rPr>
          <w:rFonts w:ascii="Garamond" w:eastAsia="Times New Roman" w:hAnsi="Garamond" w:cs="Times New Roman"/>
          <w:lang w:val="en-US"/>
        </w:rPr>
        <w:t xml:space="preserve">Dow Chemical UC Berkeley Outstanding Junior Award </w:t>
      </w:r>
      <w:r w:rsidRPr="00892EA8">
        <w:rPr>
          <w:rFonts w:ascii="Garamond" w:eastAsia="Times New Roman" w:hAnsi="Garamond" w:cs="Times New Roman"/>
          <w:lang w:val="en-US"/>
        </w:rPr>
        <w:tab/>
      </w:r>
      <w:r w:rsidRPr="00892EA8">
        <w:rPr>
          <w:rFonts w:ascii="Garamond" w:eastAsia="Times New Roman" w:hAnsi="Garamond" w:cs="Times New Roman"/>
          <w:lang w:val="en-US"/>
        </w:rPr>
        <w:tab/>
      </w:r>
      <w:r w:rsidRPr="00892EA8">
        <w:rPr>
          <w:rFonts w:ascii="Garamond" w:eastAsia="Times New Roman" w:hAnsi="Garamond" w:cs="Times New Roman"/>
          <w:lang w:val="en-US"/>
        </w:rPr>
        <w:tab/>
      </w:r>
      <w:r w:rsidRPr="00892EA8">
        <w:rPr>
          <w:rFonts w:ascii="Garamond" w:eastAsia="Times New Roman" w:hAnsi="Garamond" w:cs="Times New Roman"/>
          <w:lang w:val="en-US"/>
        </w:rPr>
        <w:tab/>
      </w:r>
      <w:r w:rsidRPr="00892EA8">
        <w:rPr>
          <w:rFonts w:ascii="Garamond" w:eastAsia="Times New Roman" w:hAnsi="Garamond" w:cs="Times New Roman"/>
          <w:lang w:val="en-US"/>
        </w:rPr>
        <w:tab/>
        <w:t>2000</w:t>
      </w:r>
    </w:p>
    <w:p w:rsidR="00892EA8" w:rsidRPr="00892EA8" w:rsidRDefault="00892EA8" w:rsidP="00BD6FC5">
      <w:pPr>
        <w:spacing w:after="0" w:line="240" w:lineRule="auto"/>
        <w:rPr>
          <w:rFonts w:ascii="Garamond" w:eastAsia="Times New Roman" w:hAnsi="Garamond" w:cs="Times New Roman"/>
          <w:sz w:val="24"/>
          <w:szCs w:val="24"/>
          <w:lang w:val="en-US"/>
        </w:rPr>
      </w:pPr>
    </w:p>
    <w:p w:rsidR="00892EA8" w:rsidRPr="00892EA8" w:rsidRDefault="00892EA8" w:rsidP="00BD6FC5">
      <w:pPr>
        <w:spacing w:after="0" w:line="360" w:lineRule="auto"/>
        <w:rPr>
          <w:rFonts w:ascii="Garamond" w:eastAsia="Times New Roman" w:hAnsi="Garamond" w:cs="Times New Roman"/>
          <w:b/>
          <w:lang w:val="en-US"/>
        </w:rPr>
      </w:pPr>
      <w:r w:rsidRPr="00892EA8">
        <w:rPr>
          <w:rFonts w:ascii="Garamond" w:eastAsia="Times New Roman" w:hAnsi="Garamond" w:cs="Times New Roman"/>
          <w:b/>
          <w:lang w:val="en-US"/>
        </w:rPr>
        <w:t>Research Experience</w:t>
      </w:r>
    </w:p>
    <w:p w:rsidR="00892EA8" w:rsidRPr="00892EA8" w:rsidRDefault="00892EA8" w:rsidP="00BD6FC5">
      <w:pPr>
        <w:spacing w:after="0" w:line="360" w:lineRule="auto"/>
        <w:ind w:left="540"/>
        <w:rPr>
          <w:rFonts w:ascii="Garamond" w:eastAsia="Times New Roman" w:hAnsi="Garamond" w:cs="Times New Roman"/>
          <w:b/>
          <w:lang w:val="en-US"/>
        </w:rPr>
      </w:pPr>
      <w:r w:rsidRPr="00892EA8">
        <w:rPr>
          <w:rFonts w:ascii="Garamond" w:eastAsia="Times New Roman" w:hAnsi="Garamond" w:cs="Times New Roman"/>
          <w:b/>
          <w:lang w:val="en-US"/>
        </w:rPr>
        <w:t>Post-Doctorate research</w:t>
      </w:r>
    </w:p>
    <w:p w:rsidR="00892EA8" w:rsidRPr="00892EA8" w:rsidRDefault="00892EA8" w:rsidP="00BD6FC5">
      <w:pPr>
        <w:tabs>
          <w:tab w:val="left" w:pos="7740"/>
        </w:tabs>
        <w:spacing w:after="0" w:line="240" w:lineRule="auto"/>
        <w:rPr>
          <w:rFonts w:ascii="Garamond" w:eastAsia="Times New Roman" w:hAnsi="Garamond" w:cs="Times New Roman"/>
          <w:lang w:val="en-US"/>
        </w:rPr>
      </w:pPr>
      <w:r w:rsidRPr="00892EA8">
        <w:rPr>
          <w:rFonts w:ascii="Garamond" w:eastAsia="Times New Roman" w:hAnsi="Garamond" w:cs="Times New Roman"/>
          <w:u w:val="single"/>
          <w:lang w:val="en-US"/>
        </w:rPr>
        <w:t>Post-doctorate fellowship</w:t>
      </w:r>
      <w:r w:rsidRPr="00892EA8">
        <w:rPr>
          <w:rFonts w:ascii="Garamond" w:eastAsia="Times New Roman" w:hAnsi="Garamond" w:cs="Times New Roman"/>
          <w:lang w:val="en-US"/>
        </w:rPr>
        <w:t xml:space="preserve">, Institut Pasteur, Paris </w:t>
      </w:r>
      <w:r w:rsidRPr="00892EA8">
        <w:rPr>
          <w:rFonts w:ascii="Garamond" w:eastAsia="Times New Roman" w:hAnsi="Garamond" w:cs="Times New Roman"/>
          <w:lang w:val="en-US"/>
        </w:rPr>
        <w:tab/>
        <w:t>Oct 2011- 2013</w:t>
      </w:r>
    </w:p>
    <w:p w:rsidR="00892EA8" w:rsidRPr="00892EA8" w:rsidRDefault="00892EA8" w:rsidP="00BD6FC5">
      <w:pPr>
        <w:spacing w:after="0" w:line="240" w:lineRule="auto"/>
        <w:ind w:firstLine="360"/>
        <w:rPr>
          <w:rFonts w:ascii="Garamond" w:eastAsia="Times New Roman" w:hAnsi="Garamond" w:cs="Times New Roman"/>
          <w:lang w:val="en-US"/>
        </w:rPr>
      </w:pPr>
      <w:r w:rsidRPr="00892EA8">
        <w:rPr>
          <w:rFonts w:ascii="Garamond" w:eastAsia="Times New Roman" w:hAnsi="Garamond" w:cs="Times New Roman"/>
          <w:lang w:val="en-US"/>
        </w:rPr>
        <w:t>Supervised by Spencer Shorte, director of the Imagopole</w:t>
      </w:r>
    </w:p>
    <w:p w:rsidR="00892EA8" w:rsidRPr="00892EA8" w:rsidRDefault="00892EA8" w:rsidP="00BD6FC5">
      <w:pPr>
        <w:spacing w:after="120" w:line="240" w:lineRule="auto"/>
        <w:ind w:left="540" w:right="2160"/>
        <w:jc w:val="both"/>
        <w:rPr>
          <w:rFonts w:ascii="Garamond" w:eastAsia="Times New Roman" w:hAnsi="Garamond" w:cs="Times New Roman"/>
          <w:lang w:val="en-US"/>
        </w:rPr>
      </w:pPr>
      <w:r w:rsidRPr="00892EA8">
        <w:rPr>
          <w:rFonts w:ascii="Garamond" w:eastAsia="Times New Roman" w:hAnsi="Garamond" w:cs="Times New Roman"/>
          <w:lang w:val="en-US"/>
        </w:rPr>
        <w:t xml:space="preserve">Development of a mathematical description for the Fluorescence by Unbound Excitation from Luminescence (FUEL, patent pending) phenomenon. Experimental validation of the model. Development of </w:t>
      </w:r>
      <w:r w:rsidRPr="00892EA8">
        <w:rPr>
          <w:rFonts w:ascii="Garamond" w:eastAsia="Times New Roman" w:hAnsi="Garamond" w:cs="Times New Roman"/>
          <w:i/>
          <w:lang w:val="en-US"/>
        </w:rPr>
        <w:t>in vitro</w:t>
      </w:r>
      <w:r w:rsidRPr="00892EA8">
        <w:rPr>
          <w:rFonts w:ascii="Garamond" w:eastAsia="Times New Roman" w:hAnsi="Garamond" w:cs="Times New Roman"/>
          <w:lang w:val="en-US"/>
        </w:rPr>
        <w:t xml:space="preserve"> applications.</w:t>
      </w:r>
    </w:p>
    <w:p w:rsidR="00892EA8" w:rsidRPr="00892EA8" w:rsidRDefault="00892EA8" w:rsidP="00BD6FC5">
      <w:pPr>
        <w:tabs>
          <w:tab w:val="left" w:pos="7740"/>
        </w:tabs>
        <w:spacing w:after="0" w:line="240" w:lineRule="auto"/>
        <w:rPr>
          <w:rFonts w:ascii="Garamond" w:eastAsia="Times New Roman" w:hAnsi="Garamond" w:cs="Times New Roman"/>
          <w:lang w:val="en-US"/>
        </w:rPr>
      </w:pPr>
      <w:r w:rsidRPr="00892EA8">
        <w:rPr>
          <w:rFonts w:ascii="Garamond" w:eastAsia="Times New Roman" w:hAnsi="Garamond" w:cs="Times New Roman"/>
          <w:u w:val="single"/>
          <w:lang w:val="en-US"/>
        </w:rPr>
        <w:t>Post-doctorate fellowship</w:t>
      </w:r>
      <w:r w:rsidRPr="00892EA8">
        <w:rPr>
          <w:rFonts w:ascii="Garamond" w:eastAsia="Times New Roman" w:hAnsi="Garamond" w:cs="Times New Roman"/>
          <w:lang w:val="en-US"/>
        </w:rPr>
        <w:t xml:space="preserve"> at Purdue University, West Lafayette, IN</w:t>
      </w:r>
      <w:r w:rsidRPr="00892EA8">
        <w:rPr>
          <w:rFonts w:ascii="Garamond" w:eastAsia="Times New Roman" w:hAnsi="Garamond" w:cs="Times New Roman"/>
          <w:lang w:val="en-US"/>
        </w:rPr>
        <w:tab/>
        <w:t>Feb - Jun 2011</w:t>
      </w:r>
    </w:p>
    <w:p w:rsidR="00892EA8" w:rsidRPr="00892EA8" w:rsidRDefault="00892EA8" w:rsidP="00BD6FC5">
      <w:pPr>
        <w:spacing w:after="0" w:line="240" w:lineRule="auto"/>
        <w:ind w:firstLine="360"/>
        <w:rPr>
          <w:rFonts w:ascii="Garamond" w:eastAsia="Times New Roman" w:hAnsi="Garamond" w:cs="Times New Roman"/>
          <w:lang w:val="en-US"/>
        </w:rPr>
      </w:pPr>
      <w:r w:rsidRPr="00892EA8">
        <w:rPr>
          <w:rFonts w:ascii="Garamond" w:eastAsia="Times New Roman" w:hAnsi="Garamond" w:cs="Times New Roman"/>
          <w:lang w:val="en-US"/>
        </w:rPr>
        <w:t>Supervised by Barry Wanner, Professor, Dept. of Biological Sciences</w:t>
      </w:r>
    </w:p>
    <w:p w:rsidR="00892EA8" w:rsidRPr="00892EA8" w:rsidRDefault="00892EA8" w:rsidP="00BD6FC5">
      <w:pPr>
        <w:spacing w:after="120" w:line="240" w:lineRule="auto"/>
        <w:ind w:left="540" w:right="2160"/>
        <w:rPr>
          <w:rFonts w:ascii="Garamond" w:eastAsia="Times New Roman" w:hAnsi="Garamond" w:cs="Times New Roman"/>
          <w:lang w:val="en-US"/>
        </w:rPr>
      </w:pPr>
      <w:r w:rsidRPr="00892EA8">
        <w:rPr>
          <w:rFonts w:ascii="Garamond" w:eastAsia="Times New Roman" w:hAnsi="Garamond" w:cs="Times New Roman"/>
          <w:lang w:val="en-US"/>
        </w:rPr>
        <w:t xml:space="preserve">Fermenter setup for comparative transcriptional profiling (RNA-Seq) of </w:t>
      </w:r>
      <w:r w:rsidRPr="00892EA8">
        <w:rPr>
          <w:rFonts w:ascii="Garamond" w:eastAsia="Times New Roman" w:hAnsi="Garamond" w:cs="Times New Roman"/>
          <w:i/>
          <w:lang w:val="en-US"/>
        </w:rPr>
        <w:t>E. coli</w:t>
      </w:r>
      <w:r w:rsidRPr="00892EA8">
        <w:rPr>
          <w:rFonts w:ascii="Garamond" w:eastAsia="Times New Roman" w:hAnsi="Garamond" w:cs="Times New Roman"/>
          <w:lang w:val="en-US"/>
        </w:rPr>
        <w:t xml:space="preserve"> mutants under phosphate limitation. Polyphosphate metabolism. </w:t>
      </w:r>
    </w:p>
    <w:p w:rsidR="00892EA8" w:rsidRPr="00892EA8" w:rsidRDefault="00892EA8" w:rsidP="00BD6FC5">
      <w:pPr>
        <w:tabs>
          <w:tab w:val="left" w:pos="7740"/>
        </w:tabs>
        <w:spacing w:before="40" w:after="0" w:line="240" w:lineRule="auto"/>
        <w:rPr>
          <w:rFonts w:ascii="Garamond" w:eastAsia="Times New Roman" w:hAnsi="Garamond" w:cs="Times New Roman"/>
          <w:lang w:val="en-US"/>
        </w:rPr>
      </w:pPr>
      <w:r w:rsidRPr="00892EA8">
        <w:rPr>
          <w:rFonts w:ascii="Garamond" w:eastAsia="Times New Roman" w:hAnsi="Garamond" w:cs="Times New Roman"/>
          <w:u w:val="single"/>
          <w:lang w:val="en-US"/>
        </w:rPr>
        <w:t>Visiting scientist</w:t>
      </w:r>
      <w:r w:rsidRPr="00892EA8">
        <w:rPr>
          <w:rFonts w:ascii="Garamond" w:eastAsia="Times New Roman" w:hAnsi="Garamond" w:cs="Times New Roman"/>
          <w:lang w:val="en-US"/>
        </w:rPr>
        <w:t xml:space="preserve"> at Brigham Young University, Provo, UT</w:t>
      </w:r>
      <w:r w:rsidRPr="00892EA8">
        <w:rPr>
          <w:rFonts w:ascii="Garamond" w:eastAsia="Times New Roman" w:hAnsi="Garamond" w:cs="Times New Roman"/>
          <w:lang w:val="en-US"/>
        </w:rPr>
        <w:tab/>
        <w:t>Oct 09 - Dec 2010</w:t>
      </w:r>
    </w:p>
    <w:p w:rsidR="00892EA8" w:rsidRPr="00892EA8" w:rsidRDefault="00892EA8" w:rsidP="00BD6FC5">
      <w:pPr>
        <w:spacing w:after="0" w:line="240" w:lineRule="auto"/>
        <w:ind w:left="360"/>
        <w:jc w:val="both"/>
        <w:rPr>
          <w:rFonts w:ascii="Garamond" w:eastAsia="Times New Roman" w:hAnsi="Garamond" w:cs="Times New Roman"/>
          <w:lang w:val="en-US"/>
        </w:rPr>
      </w:pPr>
      <w:r w:rsidRPr="00892EA8">
        <w:rPr>
          <w:rFonts w:ascii="Garamond" w:eastAsia="Times New Roman" w:hAnsi="Garamond" w:cs="Times New Roman"/>
          <w:lang w:val="en-US"/>
        </w:rPr>
        <w:t>Supervised by W. McCleary, Associate Professor, Microbiol. &amp; Molecular Biology</w:t>
      </w:r>
    </w:p>
    <w:p w:rsidR="00892EA8" w:rsidRDefault="00892EA8" w:rsidP="00BD6FC5">
      <w:pPr>
        <w:spacing w:after="0" w:line="240" w:lineRule="auto"/>
        <w:ind w:left="540" w:right="2160"/>
        <w:jc w:val="both"/>
        <w:rPr>
          <w:rFonts w:ascii="Garamond" w:eastAsia="Times New Roman" w:hAnsi="Garamond" w:cs="Times New Roman"/>
          <w:lang w:val="en-US"/>
        </w:rPr>
      </w:pPr>
      <w:r w:rsidRPr="00892EA8">
        <w:rPr>
          <w:rFonts w:ascii="Garamond" w:eastAsia="Times New Roman" w:hAnsi="Garamond" w:cs="Times New Roman"/>
          <w:lang w:val="en-US"/>
        </w:rPr>
        <w:t>Regulatory interactions between phosphate and polyphosphate metabolisms.</w:t>
      </w:r>
    </w:p>
    <w:p w:rsidR="00892EA8" w:rsidRPr="00892EA8" w:rsidRDefault="00892EA8" w:rsidP="00BD6FC5">
      <w:pPr>
        <w:spacing w:after="0" w:line="240" w:lineRule="auto"/>
        <w:ind w:left="540" w:right="2160"/>
        <w:jc w:val="both"/>
        <w:rPr>
          <w:rFonts w:ascii="Garamond" w:eastAsia="Times New Roman" w:hAnsi="Garamond" w:cs="Times New Roman"/>
          <w:lang w:val="en-US"/>
        </w:rPr>
      </w:pPr>
    </w:p>
    <w:p w:rsidR="00892EA8" w:rsidRPr="00892EA8" w:rsidRDefault="00892EA8" w:rsidP="00BD6FC5">
      <w:pPr>
        <w:tabs>
          <w:tab w:val="left" w:pos="7740"/>
        </w:tabs>
        <w:spacing w:after="0" w:line="240" w:lineRule="auto"/>
        <w:rPr>
          <w:rFonts w:ascii="Garamond" w:eastAsia="Times New Roman" w:hAnsi="Garamond" w:cs="Times New Roman"/>
          <w:lang w:val="en-US"/>
        </w:rPr>
      </w:pPr>
      <w:r w:rsidRPr="00892EA8">
        <w:rPr>
          <w:rFonts w:ascii="Garamond" w:eastAsia="Times New Roman" w:hAnsi="Garamond" w:cs="Times New Roman"/>
          <w:u w:val="single"/>
          <w:lang w:val="en-US"/>
        </w:rPr>
        <w:t>Post-doctorate fellowship</w:t>
      </w:r>
      <w:r w:rsidRPr="00892EA8">
        <w:rPr>
          <w:rFonts w:ascii="Garamond" w:eastAsia="Times New Roman" w:hAnsi="Garamond" w:cs="Times New Roman"/>
          <w:lang w:val="en-US"/>
        </w:rPr>
        <w:t xml:space="preserve">, Institut Pasteur, Paris </w:t>
      </w:r>
      <w:r w:rsidRPr="00892EA8">
        <w:rPr>
          <w:rFonts w:ascii="Garamond" w:eastAsia="Times New Roman" w:hAnsi="Garamond" w:cs="Times New Roman"/>
          <w:lang w:val="en-US"/>
        </w:rPr>
        <w:tab/>
        <w:t>Feb-May 2009</w:t>
      </w:r>
    </w:p>
    <w:p w:rsidR="00892EA8" w:rsidRPr="00892EA8" w:rsidRDefault="00892EA8" w:rsidP="00BD6FC5">
      <w:pPr>
        <w:spacing w:after="0" w:line="240" w:lineRule="auto"/>
        <w:ind w:left="360" w:right="2160"/>
        <w:jc w:val="both"/>
        <w:rPr>
          <w:rFonts w:ascii="Garamond" w:eastAsia="Times New Roman" w:hAnsi="Garamond" w:cs="Times New Roman"/>
          <w:lang w:val="en-US"/>
        </w:rPr>
      </w:pPr>
      <w:r w:rsidRPr="00892EA8">
        <w:rPr>
          <w:rFonts w:ascii="Garamond" w:eastAsia="Times New Roman" w:hAnsi="Garamond" w:cs="Times New Roman"/>
          <w:lang w:val="en-US"/>
        </w:rPr>
        <w:t>Supervised by A. Danchin, director of the Genomes and Genetics Department</w:t>
      </w:r>
    </w:p>
    <w:p w:rsidR="00892EA8" w:rsidRPr="00892EA8" w:rsidRDefault="00892EA8" w:rsidP="00BD6FC5">
      <w:pPr>
        <w:spacing w:after="120" w:line="240" w:lineRule="auto"/>
        <w:ind w:left="540"/>
        <w:rPr>
          <w:rFonts w:ascii="Garamond" w:eastAsia="Times New Roman" w:hAnsi="Garamond" w:cs="Times New Roman"/>
          <w:lang w:val="en-US"/>
        </w:rPr>
      </w:pPr>
      <w:r w:rsidRPr="00892EA8">
        <w:rPr>
          <w:rFonts w:ascii="Garamond" w:eastAsia="Times New Roman" w:hAnsi="Garamond" w:cs="Times New Roman"/>
          <w:lang w:val="en-US"/>
        </w:rPr>
        <w:t xml:space="preserve">Enzymatic polyphosphate assay and protein purification. </w:t>
      </w:r>
    </w:p>
    <w:p w:rsidR="00892EA8" w:rsidRPr="00892EA8" w:rsidRDefault="00892EA8" w:rsidP="00BD6FC5">
      <w:pPr>
        <w:tabs>
          <w:tab w:val="left" w:pos="7740"/>
        </w:tabs>
        <w:spacing w:before="40" w:after="0" w:line="240" w:lineRule="auto"/>
        <w:rPr>
          <w:rFonts w:ascii="Garamond" w:eastAsia="Times New Roman" w:hAnsi="Garamond" w:cs="Times New Roman"/>
          <w:lang w:val="en-US"/>
        </w:rPr>
      </w:pPr>
      <w:r w:rsidRPr="00892EA8">
        <w:rPr>
          <w:rFonts w:ascii="Garamond" w:eastAsia="Times New Roman" w:hAnsi="Garamond" w:cs="Times New Roman"/>
          <w:u w:val="single"/>
          <w:lang w:val="en-US"/>
        </w:rPr>
        <w:t>Visiting scientist</w:t>
      </w:r>
      <w:r w:rsidRPr="00892EA8">
        <w:rPr>
          <w:rFonts w:ascii="Garamond" w:eastAsia="Times New Roman" w:hAnsi="Garamond" w:cs="Times New Roman"/>
          <w:lang w:val="en-US"/>
        </w:rPr>
        <w:t xml:space="preserve"> at the University of Washington, Seattle, WA</w:t>
      </w:r>
      <w:r w:rsidRPr="00892EA8">
        <w:rPr>
          <w:rFonts w:ascii="Garamond" w:eastAsia="Times New Roman" w:hAnsi="Garamond" w:cs="Times New Roman"/>
          <w:lang w:val="en-US"/>
        </w:rPr>
        <w:tab/>
        <w:t>Aug-Dec 2008</w:t>
      </w:r>
    </w:p>
    <w:p w:rsidR="00892EA8" w:rsidRPr="00892EA8" w:rsidRDefault="00892EA8" w:rsidP="00BD6FC5">
      <w:pPr>
        <w:spacing w:after="0" w:line="240" w:lineRule="auto"/>
        <w:ind w:left="360" w:right="1710"/>
        <w:rPr>
          <w:rFonts w:ascii="Garamond" w:eastAsia="Times New Roman" w:hAnsi="Garamond" w:cs="Times New Roman"/>
          <w:lang w:val="en-US"/>
        </w:rPr>
      </w:pPr>
      <w:r w:rsidRPr="00892EA8">
        <w:rPr>
          <w:rFonts w:ascii="Garamond" w:eastAsia="Times New Roman" w:hAnsi="Garamond" w:cs="Times New Roman"/>
          <w:lang w:val="en-US"/>
        </w:rPr>
        <w:t>Supervised by Mary Lidstrom, Professor of Microbiology and of Chemical Engineering, University of Washington Vice Provost for Research</w:t>
      </w:r>
    </w:p>
    <w:p w:rsidR="00892EA8" w:rsidRPr="00892EA8" w:rsidRDefault="00892EA8" w:rsidP="00BD6FC5">
      <w:pPr>
        <w:spacing w:after="0" w:line="240" w:lineRule="auto"/>
        <w:ind w:left="540"/>
        <w:rPr>
          <w:rFonts w:ascii="Garamond" w:eastAsia="Times New Roman" w:hAnsi="Garamond" w:cs="Times New Roman"/>
          <w:lang w:val="en-US"/>
        </w:rPr>
      </w:pPr>
      <w:r w:rsidRPr="00892EA8">
        <w:rPr>
          <w:rFonts w:ascii="Garamond" w:eastAsia="Times New Roman" w:hAnsi="Garamond" w:cs="Times New Roman"/>
          <w:lang w:val="en-US"/>
        </w:rPr>
        <w:t xml:space="preserve">Further work on polyphosphate metabolism to refine doctorate hypotheses. </w:t>
      </w:r>
    </w:p>
    <w:p w:rsidR="00892EA8" w:rsidRPr="00892EA8" w:rsidRDefault="00892EA8" w:rsidP="00BD6FC5">
      <w:pPr>
        <w:spacing w:after="0" w:line="240" w:lineRule="auto"/>
        <w:ind w:left="540" w:right="2160"/>
        <w:rPr>
          <w:rFonts w:ascii="Garamond" w:eastAsia="Times New Roman" w:hAnsi="Garamond" w:cs="Times New Roman"/>
          <w:lang w:val="en-US"/>
        </w:rPr>
      </w:pPr>
    </w:p>
    <w:p w:rsidR="00892EA8" w:rsidRPr="00892EA8" w:rsidRDefault="00892EA8" w:rsidP="00BD6FC5">
      <w:pPr>
        <w:spacing w:after="0" w:line="360" w:lineRule="auto"/>
        <w:ind w:left="540"/>
        <w:rPr>
          <w:rFonts w:ascii="Garamond" w:eastAsia="Times New Roman" w:hAnsi="Garamond" w:cs="Times New Roman"/>
          <w:b/>
          <w:lang w:val="en-US"/>
        </w:rPr>
      </w:pPr>
      <w:r w:rsidRPr="00892EA8">
        <w:rPr>
          <w:rFonts w:ascii="Garamond" w:eastAsia="Times New Roman" w:hAnsi="Garamond" w:cs="Times New Roman"/>
          <w:b/>
          <w:lang w:val="en-US"/>
        </w:rPr>
        <w:t>Doctorate research at the University of Washington (Seattle, WA)</w:t>
      </w:r>
    </w:p>
    <w:p w:rsidR="00892EA8" w:rsidRPr="00892EA8" w:rsidRDefault="00892EA8" w:rsidP="00BD6FC5">
      <w:pPr>
        <w:tabs>
          <w:tab w:val="left" w:pos="7740"/>
        </w:tabs>
        <w:spacing w:before="40" w:after="0" w:line="240" w:lineRule="auto"/>
        <w:rPr>
          <w:rFonts w:ascii="Garamond" w:eastAsia="Times New Roman" w:hAnsi="Garamond" w:cs="Times New Roman"/>
          <w:lang w:val="en-US"/>
        </w:rPr>
      </w:pPr>
      <w:r w:rsidRPr="00892EA8">
        <w:rPr>
          <w:rFonts w:ascii="Garamond" w:eastAsia="Times New Roman" w:hAnsi="Garamond" w:cs="Times New Roman"/>
          <w:lang w:val="en-US"/>
        </w:rPr>
        <w:t>Thesis supervised by Mary Lidstrom (Microbiology and Chemical Engineering):</w:t>
      </w:r>
      <w:r w:rsidRPr="00892EA8">
        <w:rPr>
          <w:rFonts w:ascii="Garamond" w:eastAsia="Times New Roman" w:hAnsi="Garamond" w:cs="Times New Roman"/>
          <w:lang w:val="en-US"/>
        </w:rPr>
        <w:tab/>
        <w:t>2001-2007</w:t>
      </w:r>
    </w:p>
    <w:p w:rsidR="00892EA8" w:rsidRPr="00892EA8" w:rsidRDefault="00892EA8" w:rsidP="00BD6FC5">
      <w:pPr>
        <w:tabs>
          <w:tab w:val="left" w:pos="7740"/>
        </w:tabs>
        <w:spacing w:after="0" w:line="240" w:lineRule="auto"/>
        <w:rPr>
          <w:rFonts w:ascii="Garamond" w:eastAsia="Times New Roman" w:hAnsi="Garamond" w:cs="Times New Roman"/>
          <w:lang w:val="en-US"/>
        </w:rPr>
      </w:pPr>
    </w:p>
    <w:p w:rsidR="00892EA8" w:rsidRPr="00892EA8" w:rsidRDefault="00892EA8" w:rsidP="00BD6FC5">
      <w:pPr>
        <w:tabs>
          <w:tab w:val="left" w:pos="7740"/>
        </w:tabs>
        <w:spacing w:after="0" w:line="240" w:lineRule="auto"/>
        <w:rPr>
          <w:rFonts w:ascii="Garamond" w:eastAsia="Times New Roman" w:hAnsi="Garamond" w:cs="Times New Roman"/>
          <w:lang w:val="en-US"/>
        </w:rPr>
      </w:pPr>
      <w:r w:rsidRPr="00892EA8">
        <w:rPr>
          <w:rFonts w:ascii="Garamond" w:eastAsia="Times New Roman" w:hAnsi="Garamond" w:cs="Times New Roman"/>
          <w:lang w:val="en-US"/>
        </w:rPr>
        <w:t xml:space="preserve">NSF IGERT Fellowship supervised by Tom Hinckley (College of Forest Resources): </w:t>
      </w:r>
      <w:r w:rsidRPr="00892EA8">
        <w:rPr>
          <w:rFonts w:ascii="Garamond" w:eastAsia="Times New Roman" w:hAnsi="Garamond" w:cs="Times New Roman"/>
          <w:lang w:val="en-US"/>
        </w:rPr>
        <w:tab/>
        <w:t>2005-2007</w:t>
      </w:r>
    </w:p>
    <w:p w:rsidR="00892EA8" w:rsidRPr="00892EA8" w:rsidRDefault="00892EA8" w:rsidP="00BD6FC5">
      <w:pPr>
        <w:tabs>
          <w:tab w:val="left" w:pos="7740"/>
        </w:tabs>
        <w:spacing w:after="0" w:line="240" w:lineRule="auto"/>
        <w:ind w:left="360"/>
        <w:rPr>
          <w:rFonts w:ascii="Garamond" w:eastAsia="Times New Roman" w:hAnsi="Garamond" w:cs="Times New Roman"/>
          <w:lang w:val="en-US"/>
        </w:rPr>
      </w:pPr>
    </w:p>
    <w:p w:rsidR="00892EA8" w:rsidRPr="00892EA8" w:rsidRDefault="00892EA8" w:rsidP="00BD6FC5">
      <w:pPr>
        <w:spacing w:after="0" w:line="360" w:lineRule="auto"/>
        <w:ind w:left="540"/>
        <w:rPr>
          <w:rFonts w:ascii="Garamond" w:eastAsia="Times New Roman" w:hAnsi="Garamond" w:cs="Times New Roman"/>
          <w:b/>
          <w:lang w:val="en-US"/>
        </w:rPr>
      </w:pPr>
      <w:r w:rsidRPr="00892EA8">
        <w:rPr>
          <w:rFonts w:ascii="Garamond" w:eastAsia="Times New Roman" w:hAnsi="Garamond" w:cs="Times New Roman"/>
          <w:b/>
          <w:lang w:val="en-US"/>
        </w:rPr>
        <w:t>Undergraduate research at UC Berkeley (Berkeley, CA)</w:t>
      </w:r>
    </w:p>
    <w:p w:rsidR="00892EA8" w:rsidRPr="00892EA8" w:rsidRDefault="00892EA8" w:rsidP="00BD6FC5">
      <w:pPr>
        <w:tabs>
          <w:tab w:val="left" w:pos="7740"/>
        </w:tabs>
        <w:spacing w:before="40" w:after="0" w:line="240" w:lineRule="auto"/>
        <w:rPr>
          <w:rFonts w:ascii="Garamond" w:eastAsia="Times New Roman" w:hAnsi="Garamond" w:cs="Times New Roman"/>
          <w:lang w:val="en-US"/>
        </w:rPr>
      </w:pPr>
      <w:r w:rsidRPr="00892EA8">
        <w:rPr>
          <w:rFonts w:ascii="Garamond" w:eastAsia="Times New Roman" w:hAnsi="Garamond" w:cs="Times New Roman"/>
          <w:lang w:val="en-US"/>
        </w:rPr>
        <w:t>Supervised by Jay Keasling, Professor, Chemical Engineering</w:t>
      </w:r>
      <w:r w:rsidRPr="00892EA8">
        <w:rPr>
          <w:rFonts w:ascii="Garamond" w:eastAsia="Times New Roman" w:hAnsi="Garamond" w:cs="Times New Roman"/>
          <w:lang w:val="en-US"/>
        </w:rPr>
        <w:tab/>
        <w:t>2000-2001</w:t>
      </w:r>
    </w:p>
    <w:p w:rsidR="00892EA8" w:rsidRPr="00892EA8" w:rsidRDefault="00892EA8" w:rsidP="00BD6FC5">
      <w:pPr>
        <w:spacing w:after="0" w:line="240" w:lineRule="auto"/>
        <w:ind w:left="360"/>
        <w:rPr>
          <w:rFonts w:ascii="Garamond" w:eastAsia="Times New Roman" w:hAnsi="Garamond" w:cs="Times New Roman"/>
          <w:lang w:val="en-US"/>
        </w:rPr>
      </w:pPr>
      <w:r w:rsidRPr="00892EA8">
        <w:rPr>
          <w:rFonts w:ascii="Garamond" w:eastAsia="Times New Roman" w:hAnsi="Garamond" w:cs="Times New Roman"/>
          <w:lang w:val="en-US"/>
        </w:rPr>
        <w:t>Project mentored by Cynthia Gong and Neil Renninger</w:t>
      </w:r>
    </w:p>
    <w:p w:rsidR="00892EA8" w:rsidRPr="00892EA8" w:rsidRDefault="00892EA8" w:rsidP="00BD6FC5">
      <w:pPr>
        <w:spacing w:after="120" w:line="240" w:lineRule="auto"/>
        <w:ind w:left="540"/>
        <w:rPr>
          <w:rFonts w:ascii="Garamond" w:eastAsia="Times New Roman" w:hAnsi="Garamond" w:cs="Times New Roman"/>
          <w:lang w:val="en-US"/>
        </w:rPr>
      </w:pPr>
      <w:r w:rsidRPr="00892EA8">
        <w:rPr>
          <w:rFonts w:ascii="Garamond" w:eastAsia="Times New Roman" w:hAnsi="Garamond" w:cs="Times New Roman"/>
          <w:lang w:val="en-US"/>
        </w:rPr>
        <w:t xml:space="preserve">Cloning native promoters to engineer </w:t>
      </w:r>
      <w:r w:rsidR="00D733E0">
        <w:rPr>
          <w:rFonts w:ascii="Garamond" w:eastAsia="Times New Roman" w:hAnsi="Garamond" w:cs="Times New Roman"/>
          <w:i/>
          <w:lang w:val="en-US"/>
        </w:rPr>
        <w:t>D.</w:t>
      </w:r>
      <w:r w:rsidRPr="00892EA8">
        <w:rPr>
          <w:rFonts w:ascii="Garamond" w:eastAsia="Times New Roman" w:hAnsi="Garamond" w:cs="Times New Roman"/>
          <w:i/>
          <w:lang w:val="en-US"/>
        </w:rPr>
        <w:t xml:space="preserve"> radiodurans</w:t>
      </w:r>
      <w:r w:rsidRPr="00892EA8">
        <w:rPr>
          <w:rFonts w:ascii="Garamond" w:eastAsia="Times New Roman" w:hAnsi="Garamond" w:cs="Times New Roman"/>
          <w:lang w:val="en-US"/>
        </w:rPr>
        <w:t xml:space="preserve"> for bioremediation.</w:t>
      </w:r>
    </w:p>
    <w:p w:rsidR="00892EA8" w:rsidRPr="00892EA8" w:rsidRDefault="00892EA8" w:rsidP="00BD6FC5">
      <w:pPr>
        <w:tabs>
          <w:tab w:val="left" w:pos="7740"/>
        </w:tabs>
        <w:spacing w:before="40" w:after="0" w:line="240" w:lineRule="auto"/>
        <w:rPr>
          <w:rFonts w:ascii="Garamond" w:eastAsia="Times New Roman" w:hAnsi="Garamond" w:cs="Times New Roman"/>
          <w:lang w:val="en-US"/>
        </w:rPr>
      </w:pPr>
      <w:r w:rsidRPr="00892EA8">
        <w:rPr>
          <w:rFonts w:ascii="Garamond" w:eastAsia="Times New Roman" w:hAnsi="Garamond" w:cs="Times New Roman"/>
          <w:lang w:val="en-US"/>
        </w:rPr>
        <w:t>Supervised by Jay Keasling, Professor, Chemical Engineering</w:t>
      </w:r>
      <w:r w:rsidRPr="00892EA8">
        <w:rPr>
          <w:rFonts w:ascii="Garamond" w:eastAsia="Times New Roman" w:hAnsi="Garamond" w:cs="Times New Roman"/>
          <w:lang w:val="en-US"/>
        </w:rPr>
        <w:tab/>
        <w:t>1999-2000</w:t>
      </w:r>
    </w:p>
    <w:p w:rsidR="00892EA8" w:rsidRPr="00892EA8" w:rsidRDefault="00892EA8" w:rsidP="00BD6FC5">
      <w:pPr>
        <w:spacing w:after="0" w:line="240" w:lineRule="auto"/>
        <w:rPr>
          <w:rFonts w:ascii="Garamond" w:eastAsia="Times New Roman" w:hAnsi="Garamond" w:cs="Times New Roman"/>
          <w:lang w:val="en-US"/>
        </w:rPr>
      </w:pPr>
      <w:r w:rsidRPr="00892EA8">
        <w:rPr>
          <w:rFonts w:ascii="Garamond" w:eastAsia="Times New Roman" w:hAnsi="Garamond" w:cs="Times New Roman"/>
          <w:lang w:val="en-US"/>
        </w:rPr>
        <w:tab/>
        <w:t>Project mentored by Piper Trelstad and Trina McMahon</w:t>
      </w:r>
    </w:p>
    <w:p w:rsidR="00892EA8" w:rsidRPr="00892EA8" w:rsidRDefault="00892EA8" w:rsidP="00BD6FC5">
      <w:pPr>
        <w:spacing w:after="120" w:line="240" w:lineRule="auto"/>
        <w:ind w:left="540"/>
        <w:rPr>
          <w:rFonts w:ascii="Garamond" w:eastAsia="Times New Roman" w:hAnsi="Garamond" w:cs="Times New Roman"/>
          <w:lang w:val="en-US"/>
        </w:rPr>
      </w:pPr>
      <w:r w:rsidRPr="00892EA8">
        <w:rPr>
          <w:rFonts w:ascii="Garamond" w:eastAsia="Times New Roman" w:hAnsi="Garamond" w:cs="Times New Roman"/>
          <w:lang w:val="en-US"/>
        </w:rPr>
        <w:t>Polyphosphate assay in phosphorus-accumulating bacterial consortia.</w:t>
      </w:r>
    </w:p>
    <w:p w:rsidR="00892EA8" w:rsidRPr="00892EA8" w:rsidRDefault="00892EA8" w:rsidP="00BD6FC5">
      <w:pPr>
        <w:tabs>
          <w:tab w:val="left" w:pos="7740"/>
        </w:tabs>
        <w:spacing w:before="40" w:after="0" w:line="240" w:lineRule="auto"/>
        <w:rPr>
          <w:rFonts w:ascii="Garamond" w:eastAsia="Times New Roman" w:hAnsi="Garamond" w:cs="Times New Roman"/>
          <w:lang w:val="en-US"/>
        </w:rPr>
      </w:pPr>
      <w:r w:rsidRPr="00892EA8">
        <w:rPr>
          <w:rFonts w:ascii="Garamond" w:eastAsia="Times New Roman" w:hAnsi="Garamond" w:cs="Times New Roman"/>
          <w:lang w:val="en-US"/>
        </w:rPr>
        <w:t>Supervised by William Oswald, Professor, Civil and Environmental Engineering</w:t>
      </w:r>
      <w:r w:rsidRPr="00892EA8">
        <w:rPr>
          <w:rFonts w:ascii="Garamond" w:eastAsia="Times New Roman" w:hAnsi="Garamond" w:cs="Times New Roman"/>
          <w:lang w:val="en-US"/>
        </w:rPr>
        <w:tab/>
        <w:t>1997-1998</w:t>
      </w:r>
    </w:p>
    <w:p w:rsidR="00892EA8" w:rsidRPr="00892EA8" w:rsidRDefault="00892EA8" w:rsidP="00BD6FC5">
      <w:pPr>
        <w:spacing w:after="0" w:line="240" w:lineRule="auto"/>
        <w:ind w:firstLine="360"/>
        <w:rPr>
          <w:rFonts w:ascii="Garamond" w:eastAsia="Times New Roman" w:hAnsi="Garamond" w:cs="Times New Roman"/>
          <w:lang w:val="en-US"/>
        </w:rPr>
      </w:pPr>
      <w:r w:rsidRPr="00892EA8">
        <w:rPr>
          <w:rFonts w:ascii="Garamond" w:eastAsia="Times New Roman" w:hAnsi="Garamond" w:cs="Times New Roman"/>
          <w:lang w:val="en-US"/>
        </w:rPr>
        <w:t xml:space="preserve">Project mentored by Max Zarate and </w:t>
      </w:r>
      <w:r w:rsidRPr="00892EA8">
        <w:rPr>
          <w:rFonts w:ascii="Garamond" w:eastAsia="Times New Roman" w:hAnsi="Garamond" w:cs="Times New Roman"/>
          <w:bCs/>
          <w:lang w:val="en-US"/>
        </w:rPr>
        <w:t>Tryg Lundquist</w:t>
      </w:r>
    </w:p>
    <w:p w:rsidR="00892EA8" w:rsidRPr="00892EA8" w:rsidRDefault="00892EA8" w:rsidP="00BD6FC5">
      <w:pPr>
        <w:spacing w:after="0" w:line="240" w:lineRule="auto"/>
        <w:ind w:left="540" w:right="2160"/>
        <w:rPr>
          <w:rFonts w:ascii="Garamond" w:eastAsia="Times New Roman" w:hAnsi="Garamond" w:cs="Times New Roman"/>
          <w:lang w:val="en-US"/>
        </w:rPr>
      </w:pPr>
      <w:r w:rsidRPr="00892EA8">
        <w:rPr>
          <w:rFonts w:ascii="Garamond" w:eastAsia="Times New Roman" w:hAnsi="Garamond" w:cs="Times New Roman"/>
          <w:lang w:val="en-US"/>
        </w:rPr>
        <w:t>Influence of bacteria pre-treatment on the efficacy of the Algal-Bacterial Selenium Removal process.</w:t>
      </w:r>
    </w:p>
    <w:p w:rsidR="00892EA8" w:rsidRPr="00892EA8" w:rsidRDefault="00892EA8" w:rsidP="00BD6FC5">
      <w:pPr>
        <w:spacing w:after="0" w:line="240" w:lineRule="auto"/>
        <w:ind w:firstLine="360"/>
        <w:rPr>
          <w:rFonts w:ascii="Garamond" w:eastAsia="Times New Roman" w:hAnsi="Garamond" w:cs="Times New Roman"/>
          <w:lang w:val="en-US"/>
        </w:rPr>
      </w:pPr>
    </w:p>
    <w:p w:rsidR="00892EA8" w:rsidRPr="00892EA8" w:rsidRDefault="00892EA8" w:rsidP="00BD6FC5">
      <w:pPr>
        <w:spacing w:after="0" w:line="240" w:lineRule="auto"/>
        <w:ind w:left="480" w:hanging="480"/>
        <w:rPr>
          <w:rFonts w:ascii="Garamond" w:eastAsia="Times New Roman" w:hAnsi="Garamond" w:cs="Times New Roman"/>
          <w:b/>
          <w:lang w:val="en-US"/>
        </w:rPr>
      </w:pPr>
      <w:r w:rsidRPr="00892EA8">
        <w:rPr>
          <w:rFonts w:ascii="Garamond" w:eastAsia="Times New Roman" w:hAnsi="Garamond" w:cs="Times New Roman"/>
          <w:b/>
          <w:lang w:val="en-US"/>
        </w:rPr>
        <w:t>Publications</w:t>
      </w:r>
    </w:p>
    <w:p w:rsidR="00892EA8" w:rsidRPr="00892EA8" w:rsidRDefault="00892EA8" w:rsidP="00BD6FC5">
      <w:pPr>
        <w:spacing w:after="0" w:line="240" w:lineRule="auto"/>
        <w:ind w:left="480" w:hanging="480"/>
        <w:rPr>
          <w:rFonts w:ascii="Garamond" w:eastAsia="Times New Roman" w:hAnsi="Garamond" w:cs="Times New Roman"/>
          <w:lang w:val="en-US"/>
        </w:rPr>
      </w:pPr>
    </w:p>
    <w:p w:rsidR="00892EA8" w:rsidRPr="00892EA8" w:rsidRDefault="00892EA8" w:rsidP="00BD6FC5">
      <w:pPr>
        <w:numPr>
          <w:ilvl w:val="0"/>
          <w:numId w:val="12"/>
        </w:numPr>
        <w:spacing w:after="120" w:line="240" w:lineRule="auto"/>
        <w:ind w:left="450"/>
        <w:contextualSpacing/>
        <w:jc w:val="both"/>
        <w:rPr>
          <w:rFonts w:ascii="Garamond" w:eastAsia="Times New Roman" w:hAnsi="Garamond" w:cs="Times New Roman"/>
          <w:lang w:val="en-US"/>
        </w:rPr>
      </w:pPr>
      <w:r w:rsidRPr="00892EA8">
        <w:rPr>
          <w:rFonts w:ascii="Garamond" w:eastAsia="Times New Roman" w:hAnsi="Garamond" w:cs="Times New Roman"/>
          <w:lang w:val="en-US"/>
        </w:rPr>
        <w:t xml:space="preserve">Holland AD, Rückerl F, Dragavon JM, Rekiki A, Tinevez J-Y, Tournebize R and SL Shorte. </w:t>
      </w:r>
      <w:r w:rsidRPr="00892EA8">
        <w:rPr>
          <w:rFonts w:ascii="Garamond" w:eastAsia="Times New Roman" w:hAnsi="Garamond" w:cs="Times New Roman"/>
          <w:i/>
          <w:u w:val="single"/>
          <w:lang w:val="en-US"/>
        </w:rPr>
        <w:t>In vitro</w:t>
      </w:r>
      <w:r w:rsidRPr="00892EA8">
        <w:rPr>
          <w:rFonts w:ascii="Garamond" w:eastAsia="Times New Roman" w:hAnsi="Garamond" w:cs="Times New Roman"/>
          <w:u w:val="single"/>
          <w:lang w:val="en-US"/>
        </w:rPr>
        <w:t xml:space="preserve"> Characterization of Fluorescence by Unbound Excitation from Luminescence: Broadening the Scope of Energy Transfer</w:t>
      </w:r>
      <w:r w:rsidRPr="00892EA8">
        <w:rPr>
          <w:rFonts w:ascii="Garamond" w:eastAsia="Times New Roman" w:hAnsi="Garamond" w:cs="Times New Roman"/>
          <w:lang w:val="en-US"/>
        </w:rPr>
        <w:t xml:space="preserve">. </w:t>
      </w:r>
      <w:r w:rsidRPr="00892EA8">
        <w:rPr>
          <w:rFonts w:ascii="Garamond" w:eastAsia="Times New Roman" w:hAnsi="Garamond" w:cs="Times New Roman"/>
          <w:i/>
          <w:lang w:val="en-US"/>
        </w:rPr>
        <w:t xml:space="preserve">Methods. </w:t>
      </w:r>
      <w:r w:rsidRPr="00892EA8">
        <w:rPr>
          <w:rFonts w:ascii="Garamond" w:eastAsia="Times New Roman" w:hAnsi="Garamond" w:cs="Times New Roman"/>
          <w:lang w:val="en-US"/>
        </w:rPr>
        <w:t xml:space="preserve"> </w:t>
      </w:r>
      <w:r w:rsidRPr="00892EA8">
        <w:rPr>
          <w:rFonts w:ascii="Garamond" w:eastAsia="Times New Roman" w:hAnsi="Garamond" w:cs="Times New Roman"/>
          <w:b/>
          <w:lang w:val="en-US"/>
        </w:rPr>
        <w:t>2014</w:t>
      </w:r>
      <w:r w:rsidRPr="00892EA8">
        <w:rPr>
          <w:rFonts w:ascii="Garamond" w:eastAsia="Times New Roman" w:hAnsi="Garamond" w:cs="Times New Roman"/>
          <w:lang w:val="en-US"/>
        </w:rPr>
        <w:t xml:space="preserve"> 66(2):</w:t>
      </w:r>
      <w:r w:rsidRPr="00892EA8">
        <w:rPr>
          <w:rFonts w:ascii="Garamond" w:eastAsia="Times New Roman" w:hAnsi="Garamond" w:cs="Times New Roman"/>
          <w:sz w:val="24"/>
          <w:szCs w:val="24"/>
          <w:lang w:val="en-US"/>
        </w:rPr>
        <w:t xml:space="preserve"> </w:t>
      </w:r>
      <w:r>
        <w:rPr>
          <w:rFonts w:ascii="Garamond" w:eastAsia="Times New Roman" w:hAnsi="Garamond" w:cs="Times New Roman"/>
          <w:sz w:val="24"/>
          <w:szCs w:val="24"/>
          <w:lang w:val="en-US"/>
        </w:rPr>
        <w:t>353</w:t>
      </w:r>
    </w:p>
    <w:p w:rsidR="00892EA8" w:rsidRPr="00892EA8" w:rsidRDefault="00892EA8" w:rsidP="00BD6FC5">
      <w:pPr>
        <w:spacing w:after="120" w:line="240" w:lineRule="auto"/>
        <w:ind w:left="450"/>
        <w:contextualSpacing/>
        <w:jc w:val="both"/>
        <w:rPr>
          <w:rFonts w:ascii="Garamond" w:eastAsia="Times New Roman" w:hAnsi="Garamond" w:cs="Times New Roman"/>
          <w:sz w:val="10"/>
          <w:szCs w:val="10"/>
          <w:lang w:val="en-US"/>
        </w:rPr>
      </w:pPr>
    </w:p>
    <w:p w:rsidR="00892EA8" w:rsidRPr="00892EA8" w:rsidRDefault="00892EA8" w:rsidP="00BD6FC5">
      <w:pPr>
        <w:numPr>
          <w:ilvl w:val="0"/>
          <w:numId w:val="19"/>
        </w:numPr>
        <w:spacing w:after="120" w:line="240" w:lineRule="auto"/>
        <w:ind w:left="450"/>
        <w:contextualSpacing/>
        <w:jc w:val="both"/>
        <w:rPr>
          <w:rFonts w:ascii="Garamond" w:eastAsia="Times New Roman" w:hAnsi="Garamond" w:cs="Times New Roman"/>
          <w:lang w:val="en-US"/>
        </w:rPr>
      </w:pPr>
      <w:r w:rsidRPr="00892EA8">
        <w:rPr>
          <w:rFonts w:ascii="Garamond" w:eastAsia="Times New Roman" w:hAnsi="Garamond" w:cs="Times New Roman"/>
          <w:lang w:val="en-US"/>
        </w:rPr>
        <w:t>Holland AD and J Dragavon.</w:t>
      </w:r>
      <w:r w:rsidRPr="00892EA8">
        <w:rPr>
          <w:rFonts w:ascii="Garamond" w:eastAsia="Times New Roman" w:hAnsi="Garamond" w:cs="Times New Roman"/>
          <w:sz w:val="24"/>
          <w:szCs w:val="24"/>
          <w:lang w:val="en-US"/>
        </w:rPr>
        <w:t xml:space="preserve"> </w:t>
      </w:r>
      <w:r w:rsidRPr="00892EA8">
        <w:rPr>
          <w:rFonts w:ascii="Garamond" w:eastAsia="Times New Roman" w:hAnsi="Garamond" w:cs="Times New Roman"/>
          <w:u w:val="single"/>
          <w:lang w:val="en-US"/>
        </w:rPr>
        <w:t>Algal Reactor Design Based on Comprehensive Modeling of Light and Mixing</w:t>
      </w:r>
      <w:r w:rsidRPr="00892EA8">
        <w:rPr>
          <w:rFonts w:ascii="Garamond" w:eastAsia="Times New Roman" w:hAnsi="Garamond" w:cs="Times New Roman"/>
          <w:lang w:val="en-US"/>
        </w:rPr>
        <w:t xml:space="preserve">. </w:t>
      </w:r>
      <w:r w:rsidRPr="00892EA8">
        <w:rPr>
          <w:rFonts w:ascii="Garamond" w:eastAsia="Times New Roman" w:hAnsi="Garamond" w:cs="Times New Roman"/>
          <w:i/>
          <w:lang w:val="en-US"/>
        </w:rPr>
        <w:t>Algal Biorefineries</w:t>
      </w:r>
      <w:r w:rsidRPr="00892EA8">
        <w:rPr>
          <w:rFonts w:ascii="Garamond" w:eastAsia="Times New Roman" w:hAnsi="Garamond" w:cs="Times New Roman"/>
          <w:lang w:val="en-US"/>
        </w:rPr>
        <w:t>, vol.1. Springer Publishing, New York, USA. (</w:t>
      </w:r>
      <w:r w:rsidRPr="00892EA8">
        <w:rPr>
          <w:rFonts w:ascii="Garamond" w:eastAsia="Times New Roman" w:hAnsi="Garamond" w:cs="Times New Roman"/>
          <w:b/>
          <w:lang w:val="en-US"/>
        </w:rPr>
        <w:t>October 15 2013</w:t>
      </w:r>
      <w:r w:rsidRPr="00892EA8">
        <w:rPr>
          <w:rFonts w:ascii="Garamond" w:eastAsia="Times New Roman" w:hAnsi="Garamond" w:cs="Times New Roman"/>
          <w:lang w:val="en-US"/>
        </w:rPr>
        <w:t>).</w:t>
      </w:r>
    </w:p>
    <w:p w:rsidR="00892EA8" w:rsidRPr="00892EA8" w:rsidRDefault="00892EA8" w:rsidP="00BD6FC5">
      <w:pPr>
        <w:spacing w:after="120" w:line="240" w:lineRule="auto"/>
        <w:ind w:left="450"/>
        <w:contextualSpacing/>
        <w:jc w:val="both"/>
        <w:rPr>
          <w:rFonts w:ascii="Garamond" w:eastAsia="Times New Roman" w:hAnsi="Garamond" w:cs="Times New Roman"/>
          <w:sz w:val="10"/>
          <w:szCs w:val="10"/>
          <w:lang w:val="en-US"/>
        </w:rPr>
      </w:pPr>
    </w:p>
    <w:p w:rsidR="00892EA8" w:rsidRPr="00892EA8" w:rsidRDefault="00892EA8" w:rsidP="00BD6FC5">
      <w:pPr>
        <w:numPr>
          <w:ilvl w:val="0"/>
          <w:numId w:val="12"/>
        </w:numPr>
        <w:spacing w:after="120" w:line="240" w:lineRule="auto"/>
        <w:ind w:left="450"/>
        <w:contextualSpacing/>
        <w:jc w:val="both"/>
        <w:rPr>
          <w:rFonts w:ascii="Garamond" w:eastAsia="Times New Roman" w:hAnsi="Garamond" w:cs="Times New Roman"/>
          <w:lang w:val="en-US"/>
        </w:rPr>
      </w:pPr>
      <w:r w:rsidRPr="00892EA8">
        <w:rPr>
          <w:rFonts w:ascii="Garamond" w:eastAsia="Times New Roman" w:hAnsi="Garamond" w:cs="Times New Roman"/>
          <w:lang w:val="en-GB"/>
        </w:rPr>
        <w:t xml:space="preserve">Holland AD and D Wheeler. </w:t>
      </w:r>
      <w:r w:rsidRPr="00892EA8">
        <w:rPr>
          <w:rFonts w:ascii="Garamond" w:eastAsia="Times New Roman" w:hAnsi="Garamond" w:cs="Times New Roman"/>
          <w:u w:val="single"/>
          <w:lang w:val="en-US"/>
        </w:rPr>
        <w:t>Methods for Estimating Intrinsic Autotrophic Biomass Yield and Productivity in Algae: Modeling Spectrum and Mixing-Rate Dependence</w:t>
      </w:r>
      <w:r w:rsidRPr="00892EA8">
        <w:rPr>
          <w:rFonts w:ascii="Garamond" w:eastAsia="Times New Roman" w:hAnsi="Garamond" w:cs="Times New Roman"/>
          <w:lang w:val="en-US"/>
        </w:rPr>
        <w:t xml:space="preserve">. </w:t>
      </w:r>
      <w:r w:rsidRPr="00892EA8">
        <w:rPr>
          <w:rFonts w:ascii="Garamond" w:eastAsia="Times New Roman" w:hAnsi="Garamond" w:cs="Times New Roman"/>
          <w:i/>
          <w:lang w:val="en-US"/>
        </w:rPr>
        <w:t>Biotechnology Journal.</w:t>
      </w:r>
      <w:r w:rsidRPr="00892EA8">
        <w:rPr>
          <w:rFonts w:ascii="Garamond" w:eastAsia="Times New Roman" w:hAnsi="Garamond" w:cs="Times New Roman"/>
          <w:lang w:val="en-US"/>
        </w:rPr>
        <w:t xml:space="preserve"> </w:t>
      </w:r>
      <w:r w:rsidRPr="00892EA8">
        <w:rPr>
          <w:rFonts w:ascii="Garamond" w:eastAsia="Times New Roman" w:hAnsi="Garamond" w:cs="Times New Roman"/>
          <w:b/>
          <w:lang w:val="en-US"/>
        </w:rPr>
        <w:t>2011</w:t>
      </w:r>
      <w:r>
        <w:rPr>
          <w:rFonts w:ascii="Garamond" w:eastAsia="Times New Roman" w:hAnsi="Garamond" w:cs="Times New Roman"/>
          <w:lang w:val="en-US"/>
        </w:rPr>
        <w:t xml:space="preserve"> 6:584</w:t>
      </w:r>
    </w:p>
    <w:p w:rsidR="00892EA8" w:rsidRPr="00892EA8" w:rsidRDefault="00892EA8" w:rsidP="00BD6FC5">
      <w:pPr>
        <w:spacing w:after="0" w:line="240" w:lineRule="auto"/>
        <w:ind w:left="450"/>
        <w:contextualSpacing/>
        <w:jc w:val="both"/>
        <w:rPr>
          <w:rFonts w:ascii="Garamond" w:eastAsia="Times New Roman" w:hAnsi="Garamond" w:cs="Times New Roman"/>
          <w:sz w:val="10"/>
          <w:szCs w:val="10"/>
          <w:lang w:val="en-US"/>
        </w:rPr>
      </w:pPr>
    </w:p>
    <w:p w:rsidR="00892EA8" w:rsidRPr="00892EA8" w:rsidRDefault="00892EA8" w:rsidP="00BD6FC5">
      <w:pPr>
        <w:numPr>
          <w:ilvl w:val="0"/>
          <w:numId w:val="12"/>
        </w:numPr>
        <w:spacing w:after="0" w:line="240" w:lineRule="auto"/>
        <w:ind w:left="450"/>
        <w:contextualSpacing/>
        <w:jc w:val="both"/>
        <w:rPr>
          <w:rFonts w:ascii="Garamond" w:eastAsia="Times New Roman" w:hAnsi="Garamond" w:cs="Times New Roman"/>
          <w:lang w:val="en-US"/>
        </w:rPr>
      </w:pPr>
      <w:r w:rsidRPr="00892EA8">
        <w:rPr>
          <w:rFonts w:ascii="Garamond" w:eastAsia="Times New Roman" w:hAnsi="Garamond" w:cs="Times New Roman"/>
          <w:lang w:val="en-GB"/>
        </w:rPr>
        <w:t xml:space="preserve">Holland AD, Dragavon J and DC Sigee. </w:t>
      </w:r>
      <w:r w:rsidRPr="00892EA8">
        <w:rPr>
          <w:rFonts w:ascii="Garamond" w:eastAsia="Times New Roman" w:hAnsi="Garamond" w:cs="Times New Roman"/>
          <w:u w:val="single"/>
          <w:lang w:val="en-US"/>
        </w:rPr>
        <w:t>Methods for Estimating Intrinsic Autotrophic Biomass Yield and Productivity in Algae: Emphasis on Experimental Methods for Strain Selection</w:t>
      </w:r>
      <w:r w:rsidRPr="00892EA8">
        <w:rPr>
          <w:rFonts w:ascii="Garamond" w:eastAsia="Times New Roman" w:hAnsi="Garamond" w:cs="Times New Roman"/>
          <w:lang w:val="en-US"/>
        </w:rPr>
        <w:t xml:space="preserve">. </w:t>
      </w:r>
      <w:r w:rsidRPr="00892EA8">
        <w:rPr>
          <w:rFonts w:ascii="Garamond" w:eastAsia="Times New Roman" w:hAnsi="Garamond" w:cs="Times New Roman"/>
          <w:i/>
          <w:lang w:val="en-US"/>
        </w:rPr>
        <w:t>Biotechnology Journal</w:t>
      </w:r>
      <w:r w:rsidRPr="00892EA8">
        <w:rPr>
          <w:rFonts w:ascii="Garamond" w:eastAsia="Times New Roman" w:hAnsi="Garamond" w:cs="Times New Roman"/>
          <w:lang w:val="en-US"/>
        </w:rPr>
        <w:t xml:space="preserve">. </w:t>
      </w:r>
      <w:r w:rsidRPr="00892EA8">
        <w:rPr>
          <w:rFonts w:ascii="Garamond" w:eastAsia="Times New Roman" w:hAnsi="Garamond" w:cs="Times New Roman"/>
          <w:b/>
          <w:lang w:val="en-US"/>
        </w:rPr>
        <w:t>2011</w:t>
      </w:r>
      <w:r>
        <w:rPr>
          <w:rFonts w:ascii="Garamond" w:eastAsia="Times New Roman" w:hAnsi="Garamond" w:cs="Times New Roman"/>
          <w:lang w:val="en-US"/>
        </w:rPr>
        <w:t xml:space="preserve"> 6:572</w:t>
      </w:r>
    </w:p>
    <w:p w:rsidR="00892EA8" w:rsidRPr="00892EA8" w:rsidRDefault="00892EA8" w:rsidP="00BD6FC5">
      <w:pPr>
        <w:spacing w:after="0" w:line="240" w:lineRule="auto"/>
        <w:ind w:left="450"/>
        <w:contextualSpacing/>
        <w:jc w:val="both"/>
        <w:rPr>
          <w:rFonts w:ascii="Garamond" w:eastAsia="Times New Roman" w:hAnsi="Garamond" w:cs="Times New Roman"/>
          <w:sz w:val="10"/>
          <w:szCs w:val="10"/>
          <w:lang w:val="en-US"/>
        </w:rPr>
      </w:pPr>
    </w:p>
    <w:p w:rsidR="00892EA8" w:rsidRPr="00892EA8" w:rsidRDefault="00892EA8" w:rsidP="00BD6FC5">
      <w:pPr>
        <w:spacing w:before="40" w:after="0" w:line="240" w:lineRule="auto"/>
        <w:rPr>
          <w:rFonts w:ascii="Garamond" w:eastAsia="Times New Roman" w:hAnsi="Garamond" w:cs="Times New Roman"/>
          <w:lang w:val="en-US"/>
        </w:rPr>
      </w:pPr>
    </w:p>
    <w:p w:rsidR="00892EA8" w:rsidRPr="00892EA8" w:rsidRDefault="00892EA8" w:rsidP="00BD6FC5">
      <w:pPr>
        <w:spacing w:after="0" w:line="360" w:lineRule="auto"/>
        <w:rPr>
          <w:rFonts w:ascii="Garamond" w:eastAsia="Times New Roman" w:hAnsi="Garamond" w:cs="Times New Roman"/>
          <w:lang w:val="en-US"/>
        </w:rPr>
      </w:pPr>
      <w:r w:rsidRPr="00892EA8">
        <w:rPr>
          <w:rFonts w:ascii="Garamond" w:eastAsia="Times New Roman" w:hAnsi="Garamond" w:cs="Times New Roman"/>
          <w:b/>
          <w:lang w:val="en-US"/>
        </w:rPr>
        <w:t>Others</w:t>
      </w:r>
    </w:p>
    <w:p w:rsidR="00892EA8" w:rsidRPr="00892EA8" w:rsidRDefault="00892EA8" w:rsidP="00BD6FC5">
      <w:pPr>
        <w:tabs>
          <w:tab w:val="left" w:pos="2160"/>
        </w:tabs>
        <w:spacing w:before="40" w:after="0" w:line="276" w:lineRule="auto"/>
        <w:rPr>
          <w:rFonts w:ascii="Garamond" w:eastAsia="Times New Roman" w:hAnsi="Garamond" w:cs="Times New Roman"/>
          <w:lang w:val="en-US"/>
        </w:rPr>
      </w:pPr>
      <w:r w:rsidRPr="00892EA8">
        <w:rPr>
          <w:rFonts w:ascii="Garamond" w:eastAsia="Times New Roman" w:hAnsi="Garamond" w:cs="Times New Roman"/>
          <w:lang w:val="en-US"/>
        </w:rPr>
        <w:t xml:space="preserve">Programs: </w:t>
      </w:r>
      <w:r w:rsidRPr="00892EA8">
        <w:rPr>
          <w:rFonts w:ascii="Garamond" w:eastAsia="Times New Roman" w:hAnsi="Garamond" w:cs="Times New Roman"/>
          <w:lang w:val="en-US"/>
        </w:rPr>
        <w:tab/>
        <w:t>Mathcad, Clone Manager, Matlab</w:t>
      </w:r>
    </w:p>
    <w:p w:rsidR="00892EA8" w:rsidRPr="00892EA8" w:rsidRDefault="00892EA8" w:rsidP="00BD6FC5">
      <w:pPr>
        <w:tabs>
          <w:tab w:val="left" w:pos="2160"/>
        </w:tabs>
        <w:spacing w:before="120" w:after="0" w:line="276" w:lineRule="auto"/>
        <w:rPr>
          <w:rFonts w:ascii="Garamond" w:eastAsia="Times New Roman" w:hAnsi="Garamond" w:cs="Times New Roman"/>
          <w:lang w:val="en-US"/>
        </w:rPr>
      </w:pPr>
      <w:r w:rsidRPr="00892EA8">
        <w:rPr>
          <w:rFonts w:ascii="Garamond" w:eastAsia="Times New Roman" w:hAnsi="Garamond" w:cs="Times New Roman"/>
          <w:lang w:val="en-US"/>
        </w:rPr>
        <w:t>Languages:</w:t>
      </w:r>
      <w:r w:rsidRPr="00892EA8">
        <w:rPr>
          <w:rFonts w:ascii="Garamond" w:eastAsia="Times New Roman" w:hAnsi="Garamond" w:cs="Times New Roman"/>
          <w:lang w:val="en-US"/>
        </w:rPr>
        <w:tab/>
        <w:t>French (native), English, German (intermediate)</w:t>
      </w:r>
    </w:p>
    <w:p w:rsidR="00892EA8" w:rsidRPr="00892EA8" w:rsidRDefault="00892EA8" w:rsidP="00BD6FC5">
      <w:pPr>
        <w:tabs>
          <w:tab w:val="left" w:pos="2160"/>
        </w:tabs>
        <w:spacing w:before="120" w:after="0" w:line="276" w:lineRule="auto"/>
        <w:rPr>
          <w:rFonts w:ascii="Garamond" w:eastAsia="Times New Roman" w:hAnsi="Garamond" w:cs="Times New Roman"/>
          <w:lang w:val="en-US"/>
        </w:rPr>
      </w:pPr>
      <w:r w:rsidRPr="00892EA8">
        <w:rPr>
          <w:rFonts w:ascii="Garamond" w:eastAsia="Times New Roman" w:hAnsi="Garamond" w:cs="Times New Roman"/>
          <w:lang w:val="en-US"/>
        </w:rPr>
        <w:t xml:space="preserve">Citizenships: </w:t>
      </w:r>
      <w:r w:rsidRPr="00892EA8">
        <w:rPr>
          <w:rFonts w:ascii="Garamond" w:eastAsia="Times New Roman" w:hAnsi="Garamond" w:cs="Times New Roman"/>
          <w:lang w:val="en-US"/>
        </w:rPr>
        <w:tab/>
        <w:t>USA, France</w:t>
      </w:r>
    </w:p>
    <w:p w:rsidR="00892EA8" w:rsidRPr="00892EA8" w:rsidRDefault="00892EA8" w:rsidP="00BD6FC5">
      <w:pPr>
        <w:tabs>
          <w:tab w:val="left" w:pos="2160"/>
        </w:tabs>
        <w:spacing w:before="120" w:after="0" w:line="276" w:lineRule="auto"/>
        <w:rPr>
          <w:rFonts w:ascii="Garamond" w:eastAsia="Times New Roman" w:hAnsi="Garamond" w:cs="Times New Roman"/>
          <w:lang w:val="en-US"/>
        </w:rPr>
      </w:pPr>
      <w:r w:rsidRPr="00892EA8">
        <w:rPr>
          <w:rFonts w:ascii="Garamond" w:eastAsia="Times New Roman" w:hAnsi="Garamond" w:cs="Times New Roman"/>
          <w:lang w:val="en-US"/>
        </w:rPr>
        <w:t>Websites:</w:t>
      </w:r>
      <w:r w:rsidRPr="00892EA8">
        <w:rPr>
          <w:rFonts w:ascii="Garamond" w:eastAsia="Times New Roman" w:hAnsi="Garamond" w:cs="Times New Roman"/>
          <w:lang w:val="en-US"/>
        </w:rPr>
        <w:tab/>
      </w:r>
      <w:hyperlink r:id="rId54" w:history="1">
        <w:r w:rsidRPr="00892EA8">
          <w:rPr>
            <w:rFonts w:ascii="Garamond" w:eastAsia="Times New Roman" w:hAnsi="Garamond" w:cs="Times New Roman"/>
            <w:color w:val="0000FF"/>
            <w:u w:val="single"/>
            <w:lang w:val="en-US"/>
          </w:rPr>
          <w:t>http://www.piarcs.org/</w:t>
        </w:r>
      </w:hyperlink>
    </w:p>
    <w:p w:rsidR="00636BA3" w:rsidRDefault="00892EA8" w:rsidP="00BD6FC5">
      <w:pPr>
        <w:tabs>
          <w:tab w:val="left" w:pos="2160"/>
        </w:tabs>
        <w:spacing w:after="0" w:line="276" w:lineRule="auto"/>
        <w:rPr>
          <w:rFonts w:ascii="Garamond" w:eastAsia="Times New Roman" w:hAnsi="Garamond" w:cs="Times New Roman"/>
          <w:color w:val="0000FF"/>
          <w:u w:val="single"/>
          <w:lang w:val="en-US"/>
        </w:rPr>
      </w:pPr>
      <w:r w:rsidRPr="00892EA8">
        <w:rPr>
          <w:rFonts w:ascii="Garamond" w:eastAsia="Times New Roman" w:hAnsi="Garamond" w:cs="Times New Roman"/>
          <w:lang w:val="en-US"/>
        </w:rPr>
        <w:tab/>
      </w:r>
      <w:hyperlink r:id="rId55" w:history="1">
        <w:r w:rsidRPr="00892EA8">
          <w:rPr>
            <w:rFonts w:ascii="Garamond" w:eastAsia="Times New Roman" w:hAnsi="Garamond" w:cs="Times New Roman"/>
            <w:color w:val="0000FF"/>
            <w:u w:val="single"/>
            <w:lang w:val="en-US"/>
          </w:rPr>
          <w:t>http://www.linkedin.com/in/alexandraholland</w:t>
        </w:r>
      </w:hyperlink>
    </w:p>
    <w:p w:rsidR="00E304A1" w:rsidRDefault="00E304A1" w:rsidP="00BD6FC5">
      <w:pPr>
        <w:tabs>
          <w:tab w:val="left" w:pos="2160"/>
        </w:tabs>
        <w:spacing w:after="0" w:line="276" w:lineRule="auto"/>
        <w:rPr>
          <w:rFonts w:ascii="Leelawadee" w:hAnsi="Leelawadee" w:cs="Leelawadee"/>
          <w:sz w:val="26"/>
          <w:szCs w:val="26"/>
          <w:lang w:val="en-US"/>
        </w:rPr>
        <w:sectPr w:rsidR="00E304A1" w:rsidSect="00D436F6">
          <w:footerReference w:type="default" r:id="rId56"/>
          <w:pgSz w:w="12240" w:h="15840"/>
          <w:pgMar w:top="1440" w:right="1440" w:bottom="1440" w:left="1440" w:header="720" w:footer="720" w:gutter="0"/>
          <w:pgNumType w:start="1"/>
          <w:cols w:space="720"/>
          <w:docGrid w:linePitch="360"/>
        </w:sectPr>
      </w:pPr>
    </w:p>
    <w:p w:rsidR="00E304A1" w:rsidRPr="00E304A1" w:rsidRDefault="00E304A1" w:rsidP="00E304A1">
      <w:pPr>
        <w:spacing w:before="100" w:beforeAutospacing="1" w:after="100" w:afterAutospacing="1" w:line="240" w:lineRule="auto"/>
        <w:jc w:val="center"/>
        <w:rPr>
          <w:rFonts w:ascii="Calibri" w:eastAsia="Times New Roman" w:hAnsi="Calibri" w:cs="Times New Roman"/>
          <w:sz w:val="24"/>
          <w:szCs w:val="24"/>
          <w:lang w:val="en-US"/>
        </w:rPr>
      </w:pPr>
      <w:r w:rsidRPr="00E304A1">
        <w:rPr>
          <w:rFonts w:ascii="Garamond" w:eastAsia="Calibri" w:hAnsi="Garamond" w:cs="Leelawadee"/>
          <w:color w:val="149346"/>
          <w:sz w:val="26"/>
          <w:szCs w:val="26"/>
          <w:lang w:val="en-US"/>
        </w:rPr>
        <w:t>Risk Factors; Disclaimer</w:t>
      </w:r>
    </w:p>
    <w:p w:rsidR="00E304A1" w:rsidRPr="00E304A1" w:rsidRDefault="00E304A1" w:rsidP="00E304A1">
      <w:pPr>
        <w:spacing w:before="100" w:beforeAutospacing="1" w:after="120" w:line="240" w:lineRule="auto"/>
        <w:rPr>
          <w:rFonts w:ascii="Calibri" w:eastAsia="Times New Roman" w:hAnsi="Calibri" w:cs="Times New Roman"/>
          <w:color w:val="000000"/>
          <w:sz w:val="27"/>
          <w:szCs w:val="27"/>
          <w:lang w:val="en-US"/>
        </w:rPr>
      </w:pPr>
      <w:r w:rsidRPr="00E304A1">
        <w:rPr>
          <w:rFonts w:ascii="Calibri" w:eastAsia="Times New Roman" w:hAnsi="Calibri" w:cs="Times New Roman"/>
          <w:b/>
          <w:bCs/>
          <w:color w:val="000000"/>
          <w:sz w:val="20"/>
          <w:szCs w:val="20"/>
          <w:lang w:val="en-US"/>
        </w:rPr>
        <w:t>Not an Offer</w:t>
      </w:r>
      <w:r w:rsidRPr="00E304A1">
        <w:rPr>
          <w:rFonts w:ascii="Calibri" w:eastAsia="Times New Roman" w:hAnsi="Calibri" w:cs="Times New Roman"/>
          <w:color w:val="000000"/>
          <w:sz w:val="20"/>
          <w:szCs w:val="20"/>
          <w:lang w:val="en-US"/>
        </w:rPr>
        <w:t xml:space="preserve">. This Executive Summary is not an offer to sell or a solicitation of an offer to buy any security and may not be relied upon in connection with the purchase or sale of any security. </w:t>
      </w:r>
    </w:p>
    <w:p w:rsidR="00E304A1" w:rsidRPr="00E304A1" w:rsidRDefault="00E304A1" w:rsidP="00E304A1">
      <w:pPr>
        <w:spacing w:before="100" w:beforeAutospacing="1" w:after="120" w:line="240" w:lineRule="auto"/>
        <w:rPr>
          <w:rFonts w:ascii="Calibri" w:eastAsia="Times New Roman" w:hAnsi="Calibri" w:cs="Times New Roman"/>
          <w:color w:val="000000"/>
          <w:sz w:val="27"/>
          <w:szCs w:val="27"/>
          <w:lang w:val="en-US"/>
        </w:rPr>
      </w:pPr>
      <w:r w:rsidRPr="00E304A1">
        <w:rPr>
          <w:rFonts w:ascii="Calibri" w:eastAsia="Times New Roman" w:hAnsi="Calibri" w:cs="Times New Roman"/>
          <w:b/>
          <w:bCs/>
          <w:color w:val="000000"/>
          <w:sz w:val="20"/>
          <w:szCs w:val="20"/>
          <w:lang w:val="en-US"/>
        </w:rPr>
        <w:t>Risk Factors; Disclaimer on Forward Looking Statements.</w:t>
      </w:r>
      <w:r w:rsidRPr="00E304A1">
        <w:rPr>
          <w:rFonts w:ascii="Calibri" w:eastAsia="Times New Roman" w:hAnsi="Calibri" w:cs="Times New Roman"/>
          <w:color w:val="000000"/>
          <w:sz w:val="20"/>
          <w:szCs w:val="20"/>
          <w:lang w:val="en-US"/>
        </w:rPr>
        <w:t xml:space="preserve"> There are risks and uncertainties inherent in PIARCS' business plan, including the following:</w:t>
      </w:r>
    </w:p>
    <w:p w:rsidR="00E304A1" w:rsidRPr="00E304A1" w:rsidRDefault="00E304A1" w:rsidP="00E304A1">
      <w:pPr>
        <w:numPr>
          <w:ilvl w:val="0"/>
          <w:numId w:val="27"/>
        </w:numPr>
        <w:spacing w:before="100" w:beforeAutospacing="1" w:after="100" w:afterAutospacing="1" w:line="240" w:lineRule="auto"/>
        <w:rPr>
          <w:rFonts w:ascii="Calibri" w:eastAsia="Times New Roman" w:hAnsi="Calibri" w:cs="Times New Roman"/>
          <w:color w:val="000000"/>
          <w:sz w:val="27"/>
          <w:szCs w:val="27"/>
          <w:lang w:val="en-US"/>
        </w:rPr>
      </w:pPr>
      <w:r w:rsidRPr="00E304A1">
        <w:rPr>
          <w:rFonts w:ascii="Calibri" w:eastAsia="Times New Roman" w:hAnsi="Calibri" w:cs="Times New Roman"/>
          <w:color w:val="000000"/>
          <w:sz w:val="20"/>
          <w:szCs w:val="20"/>
          <w:lang w:val="en-US"/>
        </w:rPr>
        <w:t>We require additional equity or debt financing to fund our business, including to fund general working capital and research and development activities.</w:t>
      </w:r>
    </w:p>
    <w:p w:rsidR="00E304A1" w:rsidRPr="00E304A1" w:rsidRDefault="00E304A1" w:rsidP="00E304A1">
      <w:pPr>
        <w:numPr>
          <w:ilvl w:val="0"/>
          <w:numId w:val="27"/>
        </w:numPr>
        <w:spacing w:before="100" w:beforeAutospacing="1" w:after="100" w:afterAutospacing="1" w:line="240" w:lineRule="auto"/>
        <w:rPr>
          <w:rFonts w:ascii="Calibri" w:eastAsia="Times New Roman" w:hAnsi="Calibri" w:cs="Times New Roman"/>
          <w:color w:val="000000"/>
          <w:sz w:val="27"/>
          <w:szCs w:val="27"/>
          <w:lang w:val="en-US"/>
        </w:rPr>
      </w:pPr>
      <w:r w:rsidRPr="00E304A1">
        <w:rPr>
          <w:rFonts w:ascii="Calibri" w:eastAsia="Times New Roman" w:hAnsi="Calibri" w:cs="Times New Roman"/>
          <w:color w:val="000000"/>
          <w:sz w:val="20"/>
          <w:szCs w:val="20"/>
          <w:lang w:val="en-US"/>
        </w:rPr>
        <w:t>Efforts to protect our IP rights and to defend claims against us can increase our costs and will not always succeed; any failures could adversely affect profitability or restrict our ability to do business or to achieve projected licensing revenues.</w:t>
      </w:r>
    </w:p>
    <w:p w:rsidR="00E304A1" w:rsidRPr="00E304A1" w:rsidRDefault="00E304A1" w:rsidP="00E304A1">
      <w:pPr>
        <w:numPr>
          <w:ilvl w:val="0"/>
          <w:numId w:val="27"/>
        </w:numPr>
        <w:spacing w:before="100" w:beforeAutospacing="1" w:after="100" w:afterAutospacing="1" w:line="240" w:lineRule="auto"/>
        <w:rPr>
          <w:rFonts w:ascii="Calibri" w:eastAsia="Times New Roman" w:hAnsi="Calibri" w:cs="Times New Roman"/>
          <w:sz w:val="24"/>
          <w:szCs w:val="24"/>
          <w:lang w:val="en-US"/>
        </w:rPr>
      </w:pPr>
      <w:r w:rsidRPr="00E304A1">
        <w:rPr>
          <w:rFonts w:ascii="Calibri" w:eastAsia="Times New Roman" w:hAnsi="Calibri" w:cs="Times New Roman"/>
          <w:sz w:val="20"/>
          <w:szCs w:val="20"/>
          <w:lang w:val="en-US"/>
        </w:rPr>
        <w:t>Others…..</w:t>
      </w:r>
    </w:p>
    <w:p w:rsidR="00E304A1" w:rsidRPr="00E304A1" w:rsidRDefault="00E304A1" w:rsidP="00E304A1">
      <w:pPr>
        <w:spacing w:before="100" w:beforeAutospacing="1" w:after="120" w:line="240" w:lineRule="auto"/>
        <w:rPr>
          <w:rFonts w:ascii="Calibri" w:eastAsia="Times New Roman" w:hAnsi="Calibri" w:cs="Times New Roman"/>
          <w:color w:val="000000"/>
          <w:sz w:val="27"/>
          <w:szCs w:val="27"/>
          <w:lang w:val="en-US"/>
        </w:rPr>
      </w:pPr>
      <w:r w:rsidRPr="00E304A1">
        <w:rPr>
          <w:rFonts w:ascii="Calibri" w:eastAsia="Times New Roman" w:hAnsi="Calibri" w:cs="Times New Roman"/>
          <w:color w:val="000000"/>
          <w:sz w:val="20"/>
          <w:szCs w:val="20"/>
          <w:lang w:val="en-US"/>
        </w:rPr>
        <w:t>The risks described above are not the only ones we face. Additional risks not identified here or that we currently do not know about may also impair our business, financial condition or results of operations. If we cannot address any of these risks and uncertainties effectively, or any other risks and difficulties that may arise in the future, our business, financial condition or results of operations could be materially and adversely affected. </w:t>
      </w:r>
    </w:p>
    <w:p w:rsidR="00E304A1" w:rsidRPr="00E304A1" w:rsidRDefault="00E304A1" w:rsidP="00E304A1">
      <w:pPr>
        <w:spacing w:before="100" w:beforeAutospacing="1" w:after="120" w:line="240" w:lineRule="auto"/>
        <w:rPr>
          <w:rFonts w:ascii="Calibri" w:eastAsia="Times New Roman" w:hAnsi="Calibri" w:cs="Times New Roman"/>
          <w:sz w:val="24"/>
          <w:szCs w:val="24"/>
          <w:lang w:val="en-US"/>
        </w:rPr>
      </w:pPr>
      <w:r w:rsidRPr="00E304A1">
        <w:rPr>
          <w:rFonts w:ascii="Calibri" w:eastAsia="Times New Roman" w:hAnsi="Calibri" w:cs="Times New Roman"/>
          <w:sz w:val="20"/>
          <w:szCs w:val="20"/>
          <w:lang w:val="en-US"/>
        </w:rPr>
        <w:t xml:space="preserve">This Executive Summary includes forward-looking statements that involve risks and uncertainties, including, among others, estimates and assumptions relating to market size, penetration rates, and IP licensing royalty rates. Such forward-looking statements are based on certain assumptions and expectations about strategies, objectives, goals, expectations, results, plans and projections of PIARCS, and the inclusion of projections should not be relied upon as a prediction of future events. These forward-looking statements are subject to risks and uncertainties, including those identified above, that could cause actual results, events, performance or financial conditions to differ materially from current expectations, projections and estimates. </w:t>
      </w:r>
    </w:p>
    <w:p w:rsidR="00E304A1" w:rsidRPr="00E304A1" w:rsidRDefault="00E304A1" w:rsidP="00E304A1">
      <w:pPr>
        <w:spacing w:before="100" w:beforeAutospacing="1" w:after="120" w:line="240" w:lineRule="auto"/>
        <w:rPr>
          <w:rFonts w:ascii="Calibri" w:eastAsia="Times New Roman" w:hAnsi="Calibri" w:cs="Times New Roman"/>
          <w:color w:val="000000"/>
          <w:sz w:val="27"/>
          <w:szCs w:val="27"/>
          <w:lang w:val="en-US"/>
        </w:rPr>
      </w:pPr>
      <w:r w:rsidRPr="00E304A1">
        <w:rPr>
          <w:rFonts w:ascii="Calibri" w:eastAsia="Times New Roman" w:hAnsi="Calibri" w:cs="Times New Roman"/>
          <w:b/>
          <w:bCs/>
          <w:color w:val="000000"/>
          <w:sz w:val="20"/>
          <w:szCs w:val="20"/>
          <w:lang w:val="en-US"/>
        </w:rPr>
        <w:t>No Representation.</w:t>
      </w:r>
      <w:r w:rsidRPr="00E304A1">
        <w:rPr>
          <w:rFonts w:ascii="Calibri" w:eastAsia="Times New Roman" w:hAnsi="Calibri" w:cs="Times New Roman"/>
          <w:color w:val="000000"/>
          <w:sz w:val="20"/>
          <w:szCs w:val="20"/>
          <w:lang w:val="en-US"/>
        </w:rPr>
        <w:t> </w:t>
      </w:r>
      <w:r w:rsidRPr="00E304A1">
        <w:rPr>
          <w:rFonts w:ascii="Calibri" w:eastAsia="Times New Roman" w:hAnsi="Calibri" w:cs="Times New Roman"/>
          <w:color w:val="000000"/>
          <w:sz w:val="27"/>
          <w:szCs w:val="27"/>
          <w:lang w:val="en-US"/>
        </w:rPr>
        <w:t xml:space="preserve">The date of </w:t>
      </w:r>
      <w:r w:rsidR="00E823D3">
        <w:rPr>
          <w:rFonts w:ascii="Calibri" w:eastAsia="Times New Roman" w:hAnsi="Calibri" w:cs="Times New Roman"/>
          <w:color w:val="000000"/>
          <w:sz w:val="27"/>
          <w:szCs w:val="27"/>
          <w:lang w:val="en-US"/>
        </w:rPr>
        <w:t>t</w:t>
      </w:r>
      <w:r w:rsidR="00892EA8">
        <w:rPr>
          <w:rFonts w:ascii="Calibri" w:eastAsia="Times New Roman" w:hAnsi="Calibri" w:cs="Times New Roman"/>
          <w:color w:val="000000"/>
          <w:sz w:val="27"/>
          <w:szCs w:val="27"/>
          <w:lang w:val="en-US"/>
        </w:rPr>
        <w:t>his Business Plan is November 10</w:t>
      </w:r>
      <w:r w:rsidR="000D4F97" w:rsidRPr="000D4F97">
        <w:rPr>
          <w:rFonts w:ascii="Calibri" w:eastAsia="Times New Roman" w:hAnsi="Calibri" w:cs="Times New Roman"/>
          <w:color w:val="000000"/>
          <w:sz w:val="27"/>
          <w:szCs w:val="27"/>
          <w:vertAlign w:val="superscript"/>
          <w:lang w:val="en-US"/>
        </w:rPr>
        <w:t>th</w:t>
      </w:r>
      <w:r w:rsidRPr="00E304A1">
        <w:rPr>
          <w:rFonts w:ascii="Calibri" w:eastAsia="Times New Roman" w:hAnsi="Calibri" w:cs="Times New Roman"/>
          <w:color w:val="000000"/>
          <w:sz w:val="27"/>
          <w:szCs w:val="27"/>
          <w:lang w:val="en-US"/>
        </w:rPr>
        <w:t>, 2014.  </w:t>
      </w:r>
      <w:r w:rsidRPr="00E304A1">
        <w:rPr>
          <w:rFonts w:ascii="Calibri" w:eastAsia="Times New Roman" w:hAnsi="Calibri" w:cs="Times New Roman"/>
          <w:color w:val="000000"/>
          <w:sz w:val="20"/>
          <w:szCs w:val="20"/>
          <w:lang w:val="en-US"/>
        </w:rPr>
        <w:t>Neither PIARCS PBC nor any of its directors, officers, employees, representatives, has made or makes any representation or warranty, express or implied, to any person regarding the forward-looking statements and projections contained in this Executive Summary and none of them has nor assumes any intention or obligation to update or revise any forward-looking statements, whether as a result of new information, future events or otherwise. For the sake of clarity, only those limited representations and warranties that are made in final definitive written agreements regarding any transaction, when, as and if executed, and subject to the limitations, restrictions and disclosures as may be specified therein, will have any legal effect, and any term sheet, letter of intent or other form of preliminary agreement is not a definitive agreement.</w:t>
      </w:r>
    </w:p>
    <w:p w:rsidR="00E304A1" w:rsidRPr="00C210BB" w:rsidRDefault="00E304A1" w:rsidP="00C0687F">
      <w:pPr>
        <w:tabs>
          <w:tab w:val="left" w:pos="2160"/>
        </w:tabs>
        <w:spacing w:after="0" w:line="276" w:lineRule="auto"/>
        <w:rPr>
          <w:rFonts w:ascii="Leelawadee" w:hAnsi="Leelawadee" w:cs="Leelawadee"/>
          <w:sz w:val="26"/>
          <w:szCs w:val="26"/>
          <w:lang w:val="en-US"/>
        </w:rPr>
      </w:pPr>
    </w:p>
    <w:sectPr w:rsidR="00E304A1" w:rsidRPr="00C210BB" w:rsidSect="0045590E">
      <w:footerReference w:type="default" r:id="rId5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EE0" w:rsidRDefault="00275EE0" w:rsidP="00852F8B">
      <w:pPr>
        <w:spacing w:after="0" w:line="240" w:lineRule="auto"/>
      </w:pPr>
      <w:r>
        <w:separator/>
      </w:r>
    </w:p>
  </w:endnote>
  <w:endnote w:type="continuationSeparator" w:id="0">
    <w:p w:rsidR="00275EE0" w:rsidRDefault="00275EE0" w:rsidP="00852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eelawadee">
    <w:panose1 w:val="020B0502040204020203"/>
    <w:charset w:val="00"/>
    <w:family w:val="swiss"/>
    <w:pitch w:val="variable"/>
    <w:sig w:usb0="0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F60" w:rsidRPr="00374C53" w:rsidRDefault="00702F60" w:rsidP="00E36E0E">
    <w:pPr>
      <w:pStyle w:val="Footer"/>
      <w:jc w:val="center"/>
      <w:rPr>
        <w:rFonts w:ascii="Leelawadee" w:hAnsi="Leelawadee" w:cs="Leelawadee"/>
        <w:lang w:val="en-US"/>
      </w:rPr>
    </w:pPr>
    <w:r w:rsidRPr="00374C53">
      <w:rPr>
        <w:rFonts w:ascii="Leelawadee" w:hAnsi="Leelawadee" w:cs="Leelawadee"/>
        <w:noProof/>
        <w:color w:val="066684" w:themeColor="accent6" w:themeShade="BF"/>
        <w:sz w:val="32"/>
        <w:szCs w:val="32"/>
        <w:lang w:val="en-US"/>
      </w:rPr>
      <w:drawing>
        <wp:anchor distT="0" distB="0" distL="114300" distR="114300" simplePos="0" relativeHeight="251661312" behindDoc="0" locked="0" layoutInCell="1" allowOverlap="1" wp14:anchorId="7E8BC1F3" wp14:editId="529C8FB9">
          <wp:simplePos x="0" y="0"/>
          <wp:positionH relativeFrom="margin">
            <wp:align>right</wp:align>
          </wp:positionH>
          <wp:positionV relativeFrom="paragraph">
            <wp:posOffset>-219075</wp:posOffset>
          </wp:positionV>
          <wp:extent cx="834114" cy="495300"/>
          <wp:effectExtent l="0" t="0" r="4445" b="0"/>
          <wp:wrapNone/>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34114" cy="495300"/>
                  </a:xfrm>
                  <a:prstGeom prst="rect">
                    <a:avLst/>
                  </a:prstGeom>
                </pic:spPr>
              </pic:pic>
            </a:graphicData>
          </a:graphic>
          <wp14:sizeRelH relativeFrom="margin">
            <wp14:pctWidth>0</wp14:pctWidth>
          </wp14:sizeRelH>
          <wp14:sizeRelV relativeFrom="margin">
            <wp14:pctHeight>0</wp14:pctHeight>
          </wp14:sizeRelV>
        </wp:anchor>
      </w:drawing>
    </w:r>
    <w:r>
      <w:rPr>
        <w:rFonts w:ascii="Leelawadee" w:hAnsi="Leelawadee" w:cs="Leelawadee"/>
        <w:lang w:val="en-US"/>
      </w:rPr>
      <w:t>PIARCS Business Plan Contents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F60" w:rsidRPr="00374C53" w:rsidRDefault="00702F60" w:rsidP="00E36E0E">
    <w:pPr>
      <w:pStyle w:val="Footer"/>
      <w:jc w:val="center"/>
      <w:rPr>
        <w:rFonts w:ascii="Leelawadee" w:hAnsi="Leelawadee" w:cs="Leelawadee"/>
        <w:lang w:val="en-US"/>
      </w:rPr>
    </w:pPr>
    <w:r w:rsidRPr="00374C53">
      <w:rPr>
        <w:rFonts w:ascii="Leelawadee" w:hAnsi="Leelawadee" w:cs="Leelawadee"/>
        <w:noProof/>
        <w:color w:val="066684" w:themeColor="accent6" w:themeShade="BF"/>
        <w:sz w:val="32"/>
        <w:szCs w:val="32"/>
        <w:lang w:val="en-US"/>
      </w:rPr>
      <w:drawing>
        <wp:anchor distT="0" distB="0" distL="114300" distR="114300" simplePos="0" relativeHeight="251679744" behindDoc="0" locked="0" layoutInCell="1" allowOverlap="1" wp14:anchorId="55A18C1F" wp14:editId="318968E4">
          <wp:simplePos x="0" y="0"/>
          <wp:positionH relativeFrom="margin">
            <wp:align>right</wp:align>
          </wp:positionH>
          <wp:positionV relativeFrom="paragraph">
            <wp:posOffset>-219075</wp:posOffset>
          </wp:positionV>
          <wp:extent cx="834114" cy="495300"/>
          <wp:effectExtent l="0" t="0" r="4445" b="0"/>
          <wp:wrapNone/>
          <wp:docPr id="1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34114" cy="495300"/>
                  </a:xfrm>
                  <a:prstGeom prst="rect">
                    <a:avLst/>
                  </a:prstGeom>
                </pic:spPr>
              </pic:pic>
            </a:graphicData>
          </a:graphic>
          <wp14:sizeRelH relativeFrom="margin">
            <wp14:pctWidth>0</wp14:pctWidth>
          </wp14:sizeRelH>
          <wp14:sizeRelV relativeFrom="margin">
            <wp14:pctHeight>0</wp14:pctHeight>
          </wp14:sizeRelV>
        </wp:anchor>
      </w:drawing>
    </w:r>
    <w:r>
      <w:rPr>
        <w:rFonts w:ascii="Leelawadee" w:hAnsi="Leelawadee" w:cs="Leelawadee"/>
        <w:lang w:val="en-US"/>
      </w:rPr>
      <w:t>PIARCS Executive Summary</w:t>
    </w:r>
    <w:r w:rsidRPr="00374C53">
      <w:rPr>
        <w:rFonts w:ascii="Leelawadee" w:hAnsi="Leelawadee" w:cs="Leelawadee"/>
        <w:lang w:val="en-US"/>
      </w:rPr>
      <w:t xml:space="preserve"> p. </w:t>
    </w:r>
    <w:r>
      <w:rPr>
        <w:rFonts w:ascii="Leelawadee" w:hAnsi="Leelawadee" w:cs="Leelawadee"/>
        <w:lang w:val="en-US"/>
      </w:rPr>
      <w:fldChar w:fldCharType="begin"/>
    </w:r>
    <w:r>
      <w:rPr>
        <w:rFonts w:ascii="Leelawadee" w:hAnsi="Leelawadee" w:cs="Leelawadee"/>
        <w:lang w:val="en-US"/>
      </w:rPr>
      <w:instrText xml:space="preserve"> PAGE  \* Arabic  \* MERGEFORMAT </w:instrText>
    </w:r>
    <w:r>
      <w:rPr>
        <w:rFonts w:ascii="Leelawadee" w:hAnsi="Leelawadee" w:cs="Leelawadee"/>
        <w:lang w:val="en-US"/>
      </w:rPr>
      <w:fldChar w:fldCharType="separate"/>
    </w:r>
    <w:r w:rsidR="00BD6FC5">
      <w:rPr>
        <w:rFonts w:ascii="Leelawadee" w:hAnsi="Leelawadee" w:cs="Leelawadee"/>
        <w:noProof/>
        <w:lang w:val="en-US"/>
      </w:rPr>
      <w:t>4</w:t>
    </w:r>
    <w:r>
      <w:rPr>
        <w:rFonts w:ascii="Leelawadee" w:hAnsi="Leelawadee" w:cs="Leelawadee"/>
        <w:lang w:val="en-US"/>
      </w:rPr>
      <w:fldChar w:fldCharType="end"/>
    </w:r>
    <w:r w:rsidRPr="00374C53">
      <w:rPr>
        <w:rFonts w:ascii="Leelawadee" w:hAnsi="Leelawadee" w:cs="Leelawadee"/>
        <w:lang w:val="en-US"/>
      </w:rPr>
      <w:t>/</w:t>
    </w:r>
    <w:r>
      <w:rPr>
        <w:rFonts w:ascii="Leelawadee" w:hAnsi="Leelawadee" w:cs="Leelawadee"/>
        <w:lang w:val="en-US"/>
      </w:rPr>
      <w:fldChar w:fldCharType="begin"/>
    </w:r>
    <w:r>
      <w:rPr>
        <w:rFonts w:ascii="Leelawadee" w:hAnsi="Leelawadee" w:cs="Leelawadee"/>
        <w:lang w:val="en-US"/>
      </w:rPr>
      <w:instrText xml:space="preserve"> SECTIONPAGES   \* MERGEFORMAT </w:instrText>
    </w:r>
    <w:r>
      <w:rPr>
        <w:rFonts w:ascii="Leelawadee" w:hAnsi="Leelawadee" w:cs="Leelawadee"/>
        <w:lang w:val="en-US"/>
      </w:rPr>
      <w:fldChar w:fldCharType="separate"/>
    </w:r>
    <w:r w:rsidR="00BD6FC5">
      <w:rPr>
        <w:rFonts w:ascii="Leelawadee" w:hAnsi="Leelawadee" w:cs="Leelawadee"/>
        <w:noProof/>
        <w:lang w:val="en-US"/>
      </w:rPr>
      <w:t>4</w:t>
    </w:r>
    <w:r>
      <w:rPr>
        <w:rFonts w:ascii="Leelawadee" w:hAnsi="Leelawadee" w:cs="Leelawadee"/>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F60" w:rsidRPr="00374C53" w:rsidRDefault="00702F60" w:rsidP="00E36E0E">
    <w:pPr>
      <w:pStyle w:val="Footer"/>
      <w:jc w:val="center"/>
      <w:rPr>
        <w:rFonts w:ascii="Leelawadee" w:hAnsi="Leelawadee" w:cs="Leelawadee"/>
        <w:lang w:val="en-US"/>
      </w:rPr>
    </w:pPr>
    <w:r w:rsidRPr="00374C53">
      <w:rPr>
        <w:rFonts w:ascii="Leelawadee" w:hAnsi="Leelawadee" w:cs="Leelawadee"/>
        <w:noProof/>
        <w:color w:val="066684" w:themeColor="accent6" w:themeShade="BF"/>
        <w:sz w:val="32"/>
        <w:szCs w:val="32"/>
        <w:lang w:val="en-US"/>
      </w:rPr>
      <w:drawing>
        <wp:anchor distT="0" distB="0" distL="114300" distR="114300" simplePos="0" relativeHeight="251668480" behindDoc="0" locked="0" layoutInCell="1" allowOverlap="1" wp14:anchorId="03D90878" wp14:editId="38269AAB">
          <wp:simplePos x="0" y="0"/>
          <wp:positionH relativeFrom="margin">
            <wp:align>right</wp:align>
          </wp:positionH>
          <wp:positionV relativeFrom="paragraph">
            <wp:posOffset>-219075</wp:posOffset>
          </wp:positionV>
          <wp:extent cx="834114" cy="495300"/>
          <wp:effectExtent l="0" t="0" r="4445" b="0"/>
          <wp:wrapNone/>
          <wp:docPr id="1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34114" cy="495300"/>
                  </a:xfrm>
                  <a:prstGeom prst="rect">
                    <a:avLst/>
                  </a:prstGeom>
                </pic:spPr>
              </pic:pic>
            </a:graphicData>
          </a:graphic>
          <wp14:sizeRelH relativeFrom="margin">
            <wp14:pctWidth>0</wp14:pctWidth>
          </wp14:sizeRelH>
          <wp14:sizeRelV relativeFrom="margin">
            <wp14:pctHeight>0</wp14:pctHeight>
          </wp14:sizeRelV>
        </wp:anchor>
      </w:drawing>
    </w:r>
    <w:r>
      <w:rPr>
        <w:rFonts w:ascii="Leelawadee" w:hAnsi="Leelawadee" w:cs="Leelawadee"/>
        <w:lang w:val="en-US"/>
      </w:rPr>
      <w:t>PIARCS’ Business plan</w:t>
    </w:r>
    <w:r w:rsidRPr="00374C53">
      <w:rPr>
        <w:rFonts w:ascii="Leelawadee" w:hAnsi="Leelawadee" w:cs="Leelawadee"/>
        <w:lang w:val="en-US"/>
      </w:rPr>
      <w:t xml:space="preserve"> p. </w:t>
    </w:r>
    <w:r>
      <w:rPr>
        <w:rFonts w:ascii="Leelawadee" w:hAnsi="Leelawadee" w:cs="Leelawadee"/>
        <w:lang w:val="en-US"/>
      </w:rPr>
      <w:fldChar w:fldCharType="begin"/>
    </w:r>
    <w:r>
      <w:rPr>
        <w:rFonts w:ascii="Leelawadee" w:hAnsi="Leelawadee" w:cs="Leelawadee"/>
        <w:lang w:val="en-US"/>
      </w:rPr>
      <w:instrText xml:space="preserve"> PAGE  \* Arabic  \* MERGEFORMAT </w:instrText>
    </w:r>
    <w:r>
      <w:rPr>
        <w:rFonts w:ascii="Leelawadee" w:hAnsi="Leelawadee" w:cs="Leelawadee"/>
        <w:lang w:val="en-US"/>
      </w:rPr>
      <w:fldChar w:fldCharType="separate"/>
    </w:r>
    <w:r w:rsidR="00BD6FC5">
      <w:rPr>
        <w:rFonts w:ascii="Leelawadee" w:hAnsi="Leelawadee" w:cs="Leelawadee"/>
        <w:noProof/>
        <w:lang w:val="en-US"/>
      </w:rPr>
      <w:t>36</w:t>
    </w:r>
    <w:r>
      <w:rPr>
        <w:rFonts w:ascii="Leelawadee" w:hAnsi="Leelawadee" w:cs="Leelawadee"/>
        <w:lang w:val="en-US"/>
      </w:rPr>
      <w:fldChar w:fldCharType="end"/>
    </w:r>
    <w:r w:rsidRPr="00374C53">
      <w:rPr>
        <w:rFonts w:ascii="Leelawadee" w:hAnsi="Leelawadee" w:cs="Leelawadee"/>
        <w:lang w:val="en-US"/>
      </w:rPr>
      <w:t>/</w:t>
    </w:r>
    <w:r>
      <w:rPr>
        <w:rFonts w:ascii="Leelawadee" w:hAnsi="Leelawadee" w:cs="Leelawadee"/>
        <w:lang w:val="en-US"/>
      </w:rPr>
      <w:t>36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F60" w:rsidRPr="00374C53" w:rsidRDefault="00702F60" w:rsidP="00E36E0E">
    <w:pPr>
      <w:pStyle w:val="Footer"/>
      <w:jc w:val="center"/>
      <w:rPr>
        <w:rFonts w:ascii="Leelawadee" w:hAnsi="Leelawadee" w:cs="Leelawadee"/>
        <w:lang w:val="en-US"/>
      </w:rPr>
    </w:pPr>
    <w:r w:rsidRPr="00374C53">
      <w:rPr>
        <w:rFonts w:ascii="Leelawadee" w:hAnsi="Leelawadee" w:cs="Leelawadee"/>
        <w:noProof/>
        <w:color w:val="066684" w:themeColor="accent6" w:themeShade="BF"/>
        <w:sz w:val="32"/>
        <w:szCs w:val="32"/>
        <w:lang w:val="en-US"/>
      </w:rPr>
      <w:drawing>
        <wp:anchor distT="0" distB="0" distL="114300" distR="114300" simplePos="0" relativeHeight="251672576" behindDoc="0" locked="0" layoutInCell="1" allowOverlap="1" wp14:anchorId="5D4D5DC4" wp14:editId="7C130BA1">
          <wp:simplePos x="0" y="0"/>
          <wp:positionH relativeFrom="margin">
            <wp:align>right</wp:align>
          </wp:positionH>
          <wp:positionV relativeFrom="paragraph">
            <wp:posOffset>-219075</wp:posOffset>
          </wp:positionV>
          <wp:extent cx="834114" cy="495300"/>
          <wp:effectExtent l="0" t="0" r="4445" b="0"/>
          <wp:wrapNone/>
          <wp:docPr id="1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34114" cy="495300"/>
                  </a:xfrm>
                  <a:prstGeom prst="rect">
                    <a:avLst/>
                  </a:prstGeom>
                </pic:spPr>
              </pic:pic>
            </a:graphicData>
          </a:graphic>
          <wp14:sizeRelH relativeFrom="margin">
            <wp14:pctWidth>0</wp14:pctWidth>
          </wp14:sizeRelH>
          <wp14:sizeRelV relativeFrom="margin">
            <wp14:pctHeight>0</wp14:pctHeight>
          </wp14:sizeRelV>
        </wp:anchor>
      </w:drawing>
    </w:r>
    <w:r>
      <w:rPr>
        <w:rFonts w:ascii="Leelawadee" w:hAnsi="Leelawadee" w:cs="Leelawadee"/>
        <w:lang w:val="en-US"/>
      </w:rPr>
      <w:t>PIARCS’ founder CV</w:t>
    </w:r>
    <w:r w:rsidRPr="00374C53">
      <w:rPr>
        <w:rFonts w:ascii="Leelawadee" w:hAnsi="Leelawadee" w:cs="Leelawadee"/>
        <w:lang w:val="en-US"/>
      </w:rPr>
      <w:t xml:space="preserve"> p. </w:t>
    </w:r>
    <w:r>
      <w:rPr>
        <w:rFonts w:ascii="Leelawadee" w:hAnsi="Leelawadee" w:cs="Leelawadee"/>
        <w:lang w:val="en-US"/>
      </w:rPr>
      <w:fldChar w:fldCharType="begin"/>
    </w:r>
    <w:r>
      <w:rPr>
        <w:rFonts w:ascii="Leelawadee" w:hAnsi="Leelawadee" w:cs="Leelawadee"/>
        <w:lang w:val="en-US"/>
      </w:rPr>
      <w:instrText xml:space="preserve"> PAGE  \* Arabic  \* MERGEFORMAT </w:instrText>
    </w:r>
    <w:r>
      <w:rPr>
        <w:rFonts w:ascii="Leelawadee" w:hAnsi="Leelawadee" w:cs="Leelawadee"/>
        <w:lang w:val="en-US"/>
      </w:rPr>
      <w:fldChar w:fldCharType="separate"/>
    </w:r>
    <w:r w:rsidR="00BD6FC5">
      <w:rPr>
        <w:rFonts w:ascii="Leelawadee" w:hAnsi="Leelawadee" w:cs="Leelawadee"/>
        <w:noProof/>
        <w:lang w:val="en-US"/>
      </w:rPr>
      <w:t>2</w:t>
    </w:r>
    <w:r>
      <w:rPr>
        <w:rFonts w:ascii="Leelawadee" w:hAnsi="Leelawadee" w:cs="Leelawadee"/>
        <w:lang w:val="en-US"/>
      </w:rPr>
      <w:fldChar w:fldCharType="end"/>
    </w:r>
    <w:r w:rsidRPr="00374C53">
      <w:rPr>
        <w:rFonts w:ascii="Leelawadee" w:hAnsi="Leelawadee" w:cs="Leelawadee"/>
        <w:lang w:val="en-US"/>
      </w:rPr>
      <w:t>/</w:t>
    </w:r>
    <w:r>
      <w:rPr>
        <w:rFonts w:ascii="Leelawadee" w:hAnsi="Leelawadee" w:cs="Leelawadee"/>
        <w:lang w:val="en-US"/>
      </w:rPr>
      <w:fldChar w:fldCharType="begin"/>
    </w:r>
    <w:r>
      <w:rPr>
        <w:rFonts w:ascii="Leelawadee" w:hAnsi="Leelawadee" w:cs="Leelawadee"/>
        <w:lang w:val="en-US"/>
      </w:rPr>
      <w:instrText xml:space="preserve"> SECTIONPAGES   \* MERGEFORMAT </w:instrText>
    </w:r>
    <w:r>
      <w:rPr>
        <w:rFonts w:ascii="Leelawadee" w:hAnsi="Leelawadee" w:cs="Leelawadee"/>
        <w:lang w:val="en-US"/>
      </w:rPr>
      <w:fldChar w:fldCharType="separate"/>
    </w:r>
    <w:r w:rsidR="00BD6FC5">
      <w:rPr>
        <w:rFonts w:ascii="Leelawadee" w:hAnsi="Leelawadee" w:cs="Leelawadee"/>
        <w:noProof/>
        <w:lang w:val="en-US"/>
      </w:rPr>
      <w:t>2</w:t>
    </w:r>
    <w:r>
      <w:rPr>
        <w:rFonts w:ascii="Leelawadee" w:hAnsi="Leelawadee" w:cs="Leelawadee"/>
        <w:lang w:val="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F60" w:rsidRPr="00374C53" w:rsidRDefault="00702F60" w:rsidP="00E36E0E">
    <w:pPr>
      <w:pStyle w:val="Footer"/>
      <w:jc w:val="center"/>
      <w:rPr>
        <w:rFonts w:ascii="Leelawadee" w:hAnsi="Leelawadee" w:cs="Leelawadee"/>
        <w:lang w:val="en-US"/>
      </w:rPr>
    </w:pPr>
    <w:r w:rsidRPr="00E304A1">
      <w:rPr>
        <w:rFonts w:ascii="Leelawadee" w:hAnsi="Leelawadee" w:cs="Leelawadee"/>
        <w:noProof/>
        <w:color w:val="538135"/>
        <w:sz w:val="32"/>
        <w:szCs w:val="32"/>
        <w:lang w:val="en-US"/>
      </w:rPr>
      <w:drawing>
        <wp:anchor distT="0" distB="0" distL="114300" distR="114300" simplePos="0" relativeHeight="251676672" behindDoc="0" locked="0" layoutInCell="1" allowOverlap="1" wp14:anchorId="47D1165A" wp14:editId="3B535343">
          <wp:simplePos x="0" y="0"/>
          <wp:positionH relativeFrom="margin">
            <wp:align>right</wp:align>
          </wp:positionH>
          <wp:positionV relativeFrom="paragraph">
            <wp:posOffset>-219075</wp:posOffset>
          </wp:positionV>
          <wp:extent cx="834114" cy="495300"/>
          <wp:effectExtent l="0" t="0" r="4445" b="0"/>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34114" cy="495300"/>
                  </a:xfrm>
                  <a:prstGeom prst="rect">
                    <a:avLst/>
                  </a:prstGeom>
                </pic:spPr>
              </pic:pic>
            </a:graphicData>
          </a:graphic>
          <wp14:sizeRelH relativeFrom="margin">
            <wp14:pctWidth>0</wp14:pctWidth>
          </wp14:sizeRelH>
          <wp14:sizeRelV relativeFrom="margin">
            <wp14:pctHeight>0</wp14:pctHeight>
          </wp14:sizeRelV>
        </wp:anchor>
      </w:drawing>
    </w:r>
    <w:r>
      <w:rPr>
        <w:rFonts w:ascii="Leelawadee" w:hAnsi="Leelawadee" w:cs="Leelawadee"/>
        <w:lang w:val="en-US"/>
      </w:rPr>
      <w:t>PIARCS’ Disclaimer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EE0" w:rsidRDefault="00275EE0" w:rsidP="00852F8B">
      <w:pPr>
        <w:spacing w:after="0" w:line="240" w:lineRule="auto"/>
      </w:pPr>
      <w:r>
        <w:separator/>
      </w:r>
    </w:p>
  </w:footnote>
  <w:footnote w:type="continuationSeparator" w:id="0">
    <w:p w:rsidR="00275EE0" w:rsidRDefault="00275EE0" w:rsidP="00852F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F60" w:rsidRPr="003D6357" w:rsidRDefault="00702F60" w:rsidP="00F23DAC">
    <w:pPr>
      <w:pStyle w:val="Header"/>
      <w:tabs>
        <w:tab w:val="clear" w:pos="4680"/>
        <w:tab w:val="clear" w:pos="9360"/>
        <w:tab w:val="left" w:pos="4320"/>
        <w:tab w:val="left" w:pos="8599"/>
      </w:tabs>
      <w:rPr>
        <w:rFonts w:ascii="Leelawadee" w:hAnsi="Leelawadee" w:cs="Leelawadee"/>
      </w:rPr>
    </w:pPr>
    <w:r>
      <w:rPr>
        <w:rFonts w:ascii="Leelawadee" w:hAnsi="Leelawadee" w:cs="Leelawadee"/>
        <w:noProof/>
        <w:lang w:val="en-US"/>
      </w:rPr>
      <w:drawing>
        <wp:anchor distT="0" distB="0" distL="114300" distR="114300" simplePos="0" relativeHeight="251662336" behindDoc="0" locked="0" layoutInCell="1" allowOverlap="1" wp14:anchorId="06336C44" wp14:editId="7DCD11B7">
          <wp:simplePos x="0" y="0"/>
          <wp:positionH relativeFrom="margin">
            <wp:posOffset>5175106</wp:posOffset>
          </wp:positionH>
          <wp:positionV relativeFrom="paragraph">
            <wp:posOffset>-292735</wp:posOffset>
          </wp:positionV>
          <wp:extent cx="724619" cy="747767"/>
          <wp:effectExtent l="0" t="0" r="0" b="0"/>
          <wp:wrapNone/>
          <wp:docPr id="4" name="Picture 4" descr="C:\Users\alexandra\Desktop\Pict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Desktop\Picture5.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4619" cy="7477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6357">
      <w:rPr>
        <w:rFonts w:ascii="Leelawadee" w:hAnsi="Leelawadee" w:cs="Leelawadee"/>
      </w:rPr>
      <w:t>Alexandra D. Holland, PhD</w:t>
    </w:r>
    <w:r w:rsidRPr="003D6357">
      <w:rPr>
        <w:rFonts w:ascii="Leelawadee" w:hAnsi="Leelawadee" w:cs="Leelawadee"/>
      </w:rPr>
      <w:tab/>
    </w:r>
  </w:p>
  <w:p w:rsidR="00702F60" w:rsidRPr="003D6357" w:rsidRDefault="00702F60">
    <w:pPr>
      <w:pStyle w:val="Header"/>
      <w:rPr>
        <w:rFonts w:ascii="Leelawadee" w:hAnsi="Leelawadee" w:cs="Leelawadee"/>
      </w:rPr>
    </w:pPr>
    <w:r w:rsidRPr="003D6357">
      <w:rPr>
        <w:rFonts w:ascii="Leelawadee" w:hAnsi="Leelawadee" w:cs="Leelawadee"/>
      </w:rPr>
      <w:t>holland@piarcs.org</w:t>
    </w:r>
  </w:p>
  <w:p w:rsidR="00702F60" w:rsidRPr="003D6357" w:rsidRDefault="00702F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F60" w:rsidRPr="003D6357" w:rsidRDefault="00702F60" w:rsidP="00F23DAC">
    <w:pPr>
      <w:pStyle w:val="Header"/>
      <w:tabs>
        <w:tab w:val="clear" w:pos="4680"/>
        <w:tab w:val="clear" w:pos="9360"/>
        <w:tab w:val="left" w:pos="4320"/>
        <w:tab w:val="left" w:pos="8599"/>
      </w:tabs>
      <w:rPr>
        <w:rFonts w:ascii="Leelawadee" w:hAnsi="Leelawadee" w:cs="Leelawadee"/>
      </w:rPr>
    </w:pPr>
    <w:r>
      <w:rPr>
        <w:rFonts w:ascii="Leelawadee" w:hAnsi="Leelawadee" w:cs="Leelawadee"/>
        <w:noProof/>
        <w:lang w:val="en-US"/>
      </w:rPr>
      <w:drawing>
        <wp:anchor distT="0" distB="0" distL="114300" distR="114300" simplePos="0" relativeHeight="251678720" behindDoc="0" locked="0" layoutInCell="1" allowOverlap="1" wp14:anchorId="63A5F16C" wp14:editId="702BA68E">
          <wp:simplePos x="0" y="0"/>
          <wp:positionH relativeFrom="margin">
            <wp:posOffset>5175106</wp:posOffset>
          </wp:positionH>
          <wp:positionV relativeFrom="paragraph">
            <wp:posOffset>-292735</wp:posOffset>
          </wp:positionV>
          <wp:extent cx="724619" cy="747767"/>
          <wp:effectExtent l="0" t="0" r="0" b="0"/>
          <wp:wrapNone/>
          <wp:docPr id="159" name="Picture 159" descr="C:\Users\alexandra\Desktop\Pict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Desktop\Picture5.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4619" cy="7477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6357">
      <w:rPr>
        <w:rFonts w:ascii="Leelawadee" w:hAnsi="Leelawadee" w:cs="Leelawadee"/>
      </w:rPr>
      <w:t>Alexandra D. Holland, PhD</w:t>
    </w:r>
    <w:r w:rsidRPr="003D6357">
      <w:rPr>
        <w:rFonts w:ascii="Leelawadee" w:hAnsi="Leelawadee" w:cs="Leelawadee"/>
      </w:rPr>
      <w:tab/>
    </w:r>
    <w:r w:rsidRPr="003D6357">
      <w:rPr>
        <w:rFonts w:ascii="Leelawadee" w:hAnsi="Leelawadee" w:cs="Leelawadee"/>
      </w:rPr>
      <w:tab/>
    </w:r>
  </w:p>
  <w:p w:rsidR="00702F60" w:rsidRPr="003D6357" w:rsidRDefault="00702F60">
    <w:pPr>
      <w:pStyle w:val="Header"/>
      <w:rPr>
        <w:rFonts w:ascii="Leelawadee" w:hAnsi="Leelawadee" w:cs="Leelawadee"/>
      </w:rPr>
    </w:pPr>
    <w:r w:rsidRPr="003D6357">
      <w:rPr>
        <w:rFonts w:ascii="Leelawadee" w:hAnsi="Leelawadee" w:cs="Leelawadee"/>
      </w:rPr>
      <w:t>holland@piarcs.org</w:t>
    </w:r>
  </w:p>
  <w:p w:rsidR="00702F60" w:rsidRPr="003D6357" w:rsidRDefault="00702F6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F60" w:rsidRPr="003D6357" w:rsidRDefault="00702F60" w:rsidP="00F23DAC">
    <w:pPr>
      <w:pStyle w:val="Header"/>
      <w:tabs>
        <w:tab w:val="clear" w:pos="4680"/>
        <w:tab w:val="clear" w:pos="9360"/>
        <w:tab w:val="left" w:pos="4320"/>
        <w:tab w:val="left" w:pos="8599"/>
      </w:tabs>
      <w:rPr>
        <w:rFonts w:ascii="Leelawadee" w:hAnsi="Leelawadee" w:cs="Leelawadee"/>
        <w:lang w:val="en-US"/>
      </w:rPr>
    </w:pPr>
    <w:r>
      <w:rPr>
        <w:rFonts w:ascii="Leelawadee" w:hAnsi="Leelawadee" w:cs="Leelawadee"/>
        <w:noProof/>
        <w:lang w:val="en-US"/>
      </w:rPr>
      <w:drawing>
        <wp:anchor distT="0" distB="0" distL="114300" distR="114300" simplePos="0" relativeHeight="251670528" behindDoc="0" locked="0" layoutInCell="1" allowOverlap="1" wp14:anchorId="5806441B" wp14:editId="036F942F">
          <wp:simplePos x="0" y="0"/>
          <wp:positionH relativeFrom="margin">
            <wp:posOffset>5175106</wp:posOffset>
          </wp:positionH>
          <wp:positionV relativeFrom="paragraph">
            <wp:posOffset>-292735</wp:posOffset>
          </wp:positionV>
          <wp:extent cx="724619" cy="747767"/>
          <wp:effectExtent l="0" t="0" r="0" b="0"/>
          <wp:wrapNone/>
          <wp:docPr id="145" name="Picture 145" descr="C:\Users\alexandra\Desktop\Pict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Desktop\Picture5.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4619" cy="7477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6357">
      <w:rPr>
        <w:rFonts w:ascii="Leelawadee" w:hAnsi="Leelawadee" w:cs="Leelawadee"/>
        <w:lang w:val="en-US"/>
      </w:rPr>
      <w:t>Alexandra D. Holland, PhD</w:t>
    </w:r>
  </w:p>
  <w:p w:rsidR="00702F60" w:rsidRPr="003D6357" w:rsidRDefault="00702F60" w:rsidP="00F23DAC">
    <w:pPr>
      <w:pStyle w:val="Header"/>
      <w:tabs>
        <w:tab w:val="clear" w:pos="4680"/>
        <w:tab w:val="clear" w:pos="9360"/>
        <w:tab w:val="left" w:pos="4320"/>
        <w:tab w:val="left" w:pos="8599"/>
      </w:tabs>
      <w:rPr>
        <w:rFonts w:ascii="Leelawadee" w:hAnsi="Leelawadee" w:cs="Leelawadee"/>
        <w:lang w:val="en-US"/>
      </w:rPr>
    </w:pPr>
    <w:r w:rsidRPr="003D6357">
      <w:rPr>
        <w:rFonts w:ascii="Leelawadee" w:hAnsi="Leelawadee" w:cs="Leelawadee"/>
        <w:lang w:val="en-US"/>
      </w:rPr>
      <w:t>Founder and CEO</w:t>
    </w:r>
    <w:r w:rsidRPr="003D6357">
      <w:rPr>
        <w:rFonts w:ascii="Leelawadee" w:hAnsi="Leelawadee" w:cs="Leelawadee"/>
        <w:lang w:val="en-US"/>
      </w:rPr>
      <w:tab/>
    </w:r>
    <w:r w:rsidRPr="003D6357">
      <w:rPr>
        <w:rFonts w:ascii="Leelawadee" w:hAnsi="Leelawadee" w:cs="Leelawadee"/>
        <w:lang w:val="en-US"/>
      </w:rPr>
      <w:tab/>
    </w:r>
  </w:p>
  <w:p w:rsidR="00702F60" w:rsidRPr="000F2754" w:rsidRDefault="00702F60">
    <w:pPr>
      <w:pStyle w:val="Header"/>
      <w:rPr>
        <w:rFonts w:ascii="Leelawadee" w:hAnsi="Leelawadee" w:cs="Leelawadee"/>
      </w:rPr>
    </w:pPr>
    <w:r w:rsidRPr="000F2754">
      <w:rPr>
        <w:rFonts w:ascii="Leelawadee" w:hAnsi="Leelawadee" w:cs="Leelawadee"/>
      </w:rPr>
      <w:t>holland@piarcs.org</w:t>
    </w:r>
  </w:p>
  <w:p w:rsidR="00702F60" w:rsidRPr="000F2754" w:rsidRDefault="00702F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943"/>
    <w:multiLevelType w:val="hybridMultilevel"/>
    <w:tmpl w:val="4D0E78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625B9"/>
    <w:multiLevelType w:val="multilevel"/>
    <w:tmpl w:val="DC74E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5702EC"/>
    <w:multiLevelType w:val="hybridMultilevel"/>
    <w:tmpl w:val="7CF43B8C"/>
    <w:lvl w:ilvl="0" w:tplc="73223FD6">
      <w:numFmt w:val="bullet"/>
      <w:lvlText w:val="-"/>
      <w:lvlJc w:val="left"/>
      <w:pPr>
        <w:ind w:left="720" w:hanging="360"/>
      </w:pPr>
      <w:rPr>
        <w:rFonts w:ascii="Garamond" w:eastAsiaTheme="minorHAnsi"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2B7857"/>
    <w:multiLevelType w:val="hybridMultilevel"/>
    <w:tmpl w:val="CFA68FD4"/>
    <w:lvl w:ilvl="0" w:tplc="274A88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A351E0"/>
    <w:multiLevelType w:val="hybridMultilevel"/>
    <w:tmpl w:val="9A32E53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E5D4582"/>
    <w:multiLevelType w:val="hybridMultilevel"/>
    <w:tmpl w:val="95FED96C"/>
    <w:lvl w:ilvl="0" w:tplc="C41E4D66">
      <w:start w:val="1"/>
      <w:numFmt w:val="bullet"/>
      <w:lvlText w:val="•"/>
      <w:lvlJc w:val="left"/>
      <w:pPr>
        <w:tabs>
          <w:tab w:val="num" w:pos="720"/>
        </w:tabs>
        <w:ind w:left="720" w:hanging="360"/>
      </w:pPr>
      <w:rPr>
        <w:rFonts w:ascii="Arial" w:hAnsi="Arial" w:hint="default"/>
      </w:rPr>
    </w:lvl>
    <w:lvl w:ilvl="1" w:tplc="ADF2AA3C" w:tentative="1">
      <w:start w:val="1"/>
      <w:numFmt w:val="bullet"/>
      <w:lvlText w:val="•"/>
      <w:lvlJc w:val="left"/>
      <w:pPr>
        <w:tabs>
          <w:tab w:val="num" w:pos="1440"/>
        </w:tabs>
        <w:ind w:left="1440" w:hanging="360"/>
      </w:pPr>
      <w:rPr>
        <w:rFonts w:ascii="Arial" w:hAnsi="Arial" w:hint="default"/>
      </w:rPr>
    </w:lvl>
    <w:lvl w:ilvl="2" w:tplc="597A024C" w:tentative="1">
      <w:start w:val="1"/>
      <w:numFmt w:val="bullet"/>
      <w:lvlText w:val="•"/>
      <w:lvlJc w:val="left"/>
      <w:pPr>
        <w:tabs>
          <w:tab w:val="num" w:pos="2160"/>
        </w:tabs>
        <w:ind w:left="2160" w:hanging="360"/>
      </w:pPr>
      <w:rPr>
        <w:rFonts w:ascii="Arial" w:hAnsi="Arial" w:hint="default"/>
      </w:rPr>
    </w:lvl>
    <w:lvl w:ilvl="3" w:tplc="9886D69E" w:tentative="1">
      <w:start w:val="1"/>
      <w:numFmt w:val="bullet"/>
      <w:lvlText w:val="•"/>
      <w:lvlJc w:val="left"/>
      <w:pPr>
        <w:tabs>
          <w:tab w:val="num" w:pos="2880"/>
        </w:tabs>
        <w:ind w:left="2880" w:hanging="360"/>
      </w:pPr>
      <w:rPr>
        <w:rFonts w:ascii="Arial" w:hAnsi="Arial" w:hint="default"/>
      </w:rPr>
    </w:lvl>
    <w:lvl w:ilvl="4" w:tplc="2A72C100" w:tentative="1">
      <w:start w:val="1"/>
      <w:numFmt w:val="bullet"/>
      <w:lvlText w:val="•"/>
      <w:lvlJc w:val="left"/>
      <w:pPr>
        <w:tabs>
          <w:tab w:val="num" w:pos="3600"/>
        </w:tabs>
        <w:ind w:left="3600" w:hanging="360"/>
      </w:pPr>
      <w:rPr>
        <w:rFonts w:ascii="Arial" w:hAnsi="Arial" w:hint="default"/>
      </w:rPr>
    </w:lvl>
    <w:lvl w:ilvl="5" w:tplc="D80CCC02" w:tentative="1">
      <w:start w:val="1"/>
      <w:numFmt w:val="bullet"/>
      <w:lvlText w:val="•"/>
      <w:lvlJc w:val="left"/>
      <w:pPr>
        <w:tabs>
          <w:tab w:val="num" w:pos="4320"/>
        </w:tabs>
        <w:ind w:left="4320" w:hanging="360"/>
      </w:pPr>
      <w:rPr>
        <w:rFonts w:ascii="Arial" w:hAnsi="Arial" w:hint="default"/>
      </w:rPr>
    </w:lvl>
    <w:lvl w:ilvl="6" w:tplc="E32E0F58" w:tentative="1">
      <w:start w:val="1"/>
      <w:numFmt w:val="bullet"/>
      <w:lvlText w:val="•"/>
      <w:lvlJc w:val="left"/>
      <w:pPr>
        <w:tabs>
          <w:tab w:val="num" w:pos="5040"/>
        </w:tabs>
        <w:ind w:left="5040" w:hanging="360"/>
      </w:pPr>
      <w:rPr>
        <w:rFonts w:ascii="Arial" w:hAnsi="Arial" w:hint="default"/>
      </w:rPr>
    </w:lvl>
    <w:lvl w:ilvl="7" w:tplc="2A1280D4" w:tentative="1">
      <w:start w:val="1"/>
      <w:numFmt w:val="bullet"/>
      <w:lvlText w:val="•"/>
      <w:lvlJc w:val="left"/>
      <w:pPr>
        <w:tabs>
          <w:tab w:val="num" w:pos="5760"/>
        </w:tabs>
        <w:ind w:left="5760" w:hanging="360"/>
      </w:pPr>
      <w:rPr>
        <w:rFonts w:ascii="Arial" w:hAnsi="Arial" w:hint="default"/>
      </w:rPr>
    </w:lvl>
    <w:lvl w:ilvl="8" w:tplc="CC022424" w:tentative="1">
      <w:start w:val="1"/>
      <w:numFmt w:val="bullet"/>
      <w:lvlText w:val="•"/>
      <w:lvlJc w:val="left"/>
      <w:pPr>
        <w:tabs>
          <w:tab w:val="num" w:pos="6480"/>
        </w:tabs>
        <w:ind w:left="6480" w:hanging="360"/>
      </w:pPr>
      <w:rPr>
        <w:rFonts w:ascii="Arial" w:hAnsi="Arial" w:hint="default"/>
      </w:rPr>
    </w:lvl>
  </w:abstractNum>
  <w:abstractNum w:abstractNumId="6">
    <w:nsid w:val="10F12C7B"/>
    <w:multiLevelType w:val="hybridMultilevel"/>
    <w:tmpl w:val="633676A6"/>
    <w:lvl w:ilvl="0" w:tplc="E7EE41E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F413B9"/>
    <w:multiLevelType w:val="hybridMultilevel"/>
    <w:tmpl w:val="3182A5FA"/>
    <w:lvl w:ilvl="0" w:tplc="4E90708C">
      <w:numFmt w:val="bullet"/>
      <w:lvlText w:val=""/>
      <w:lvlJc w:val="left"/>
      <w:pPr>
        <w:ind w:left="1800" w:hanging="360"/>
      </w:pPr>
      <w:rPr>
        <w:rFonts w:ascii="Wingdings" w:eastAsiaTheme="minorHAnsi" w:hAnsi="Wingding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2D64B8B"/>
    <w:multiLevelType w:val="hybridMultilevel"/>
    <w:tmpl w:val="9AC4DCB6"/>
    <w:lvl w:ilvl="0" w:tplc="274A885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5CD064A"/>
    <w:multiLevelType w:val="hybridMultilevel"/>
    <w:tmpl w:val="C4DA5C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6920E85"/>
    <w:multiLevelType w:val="hybridMultilevel"/>
    <w:tmpl w:val="8110B588"/>
    <w:lvl w:ilvl="0" w:tplc="BC28BA0E">
      <w:start w:val="1"/>
      <w:numFmt w:val="bullet"/>
      <w:lvlText w:val="•"/>
      <w:lvlJc w:val="left"/>
      <w:pPr>
        <w:tabs>
          <w:tab w:val="num" w:pos="720"/>
        </w:tabs>
        <w:ind w:left="720" w:hanging="360"/>
      </w:pPr>
      <w:rPr>
        <w:rFonts w:ascii="Arial" w:hAnsi="Arial" w:hint="default"/>
      </w:rPr>
    </w:lvl>
    <w:lvl w:ilvl="1" w:tplc="1ACA0A5E" w:tentative="1">
      <w:start w:val="1"/>
      <w:numFmt w:val="bullet"/>
      <w:lvlText w:val="•"/>
      <w:lvlJc w:val="left"/>
      <w:pPr>
        <w:tabs>
          <w:tab w:val="num" w:pos="1440"/>
        </w:tabs>
        <w:ind w:left="1440" w:hanging="360"/>
      </w:pPr>
      <w:rPr>
        <w:rFonts w:ascii="Arial" w:hAnsi="Arial" w:hint="default"/>
      </w:rPr>
    </w:lvl>
    <w:lvl w:ilvl="2" w:tplc="10BEB560" w:tentative="1">
      <w:start w:val="1"/>
      <w:numFmt w:val="bullet"/>
      <w:lvlText w:val="•"/>
      <w:lvlJc w:val="left"/>
      <w:pPr>
        <w:tabs>
          <w:tab w:val="num" w:pos="2160"/>
        </w:tabs>
        <w:ind w:left="2160" w:hanging="360"/>
      </w:pPr>
      <w:rPr>
        <w:rFonts w:ascii="Arial" w:hAnsi="Arial" w:hint="default"/>
      </w:rPr>
    </w:lvl>
    <w:lvl w:ilvl="3" w:tplc="B0228A42" w:tentative="1">
      <w:start w:val="1"/>
      <w:numFmt w:val="bullet"/>
      <w:lvlText w:val="•"/>
      <w:lvlJc w:val="left"/>
      <w:pPr>
        <w:tabs>
          <w:tab w:val="num" w:pos="2880"/>
        </w:tabs>
        <w:ind w:left="2880" w:hanging="360"/>
      </w:pPr>
      <w:rPr>
        <w:rFonts w:ascii="Arial" w:hAnsi="Arial" w:hint="default"/>
      </w:rPr>
    </w:lvl>
    <w:lvl w:ilvl="4" w:tplc="A6081892" w:tentative="1">
      <w:start w:val="1"/>
      <w:numFmt w:val="bullet"/>
      <w:lvlText w:val="•"/>
      <w:lvlJc w:val="left"/>
      <w:pPr>
        <w:tabs>
          <w:tab w:val="num" w:pos="3600"/>
        </w:tabs>
        <w:ind w:left="3600" w:hanging="360"/>
      </w:pPr>
      <w:rPr>
        <w:rFonts w:ascii="Arial" w:hAnsi="Arial" w:hint="default"/>
      </w:rPr>
    </w:lvl>
    <w:lvl w:ilvl="5" w:tplc="19869FD6" w:tentative="1">
      <w:start w:val="1"/>
      <w:numFmt w:val="bullet"/>
      <w:lvlText w:val="•"/>
      <w:lvlJc w:val="left"/>
      <w:pPr>
        <w:tabs>
          <w:tab w:val="num" w:pos="4320"/>
        </w:tabs>
        <w:ind w:left="4320" w:hanging="360"/>
      </w:pPr>
      <w:rPr>
        <w:rFonts w:ascii="Arial" w:hAnsi="Arial" w:hint="default"/>
      </w:rPr>
    </w:lvl>
    <w:lvl w:ilvl="6" w:tplc="68784246" w:tentative="1">
      <w:start w:val="1"/>
      <w:numFmt w:val="bullet"/>
      <w:lvlText w:val="•"/>
      <w:lvlJc w:val="left"/>
      <w:pPr>
        <w:tabs>
          <w:tab w:val="num" w:pos="5040"/>
        </w:tabs>
        <w:ind w:left="5040" w:hanging="360"/>
      </w:pPr>
      <w:rPr>
        <w:rFonts w:ascii="Arial" w:hAnsi="Arial" w:hint="default"/>
      </w:rPr>
    </w:lvl>
    <w:lvl w:ilvl="7" w:tplc="DF904960" w:tentative="1">
      <w:start w:val="1"/>
      <w:numFmt w:val="bullet"/>
      <w:lvlText w:val="•"/>
      <w:lvlJc w:val="left"/>
      <w:pPr>
        <w:tabs>
          <w:tab w:val="num" w:pos="5760"/>
        </w:tabs>
        <w:ind w:left="5760" w:hanging="360"/>
      </w:pPr>
      <w:rPr>
        <w:rFonts w:ascii="Arial" w:hAnsi="Arial" w:hint="default"/>
      </w:rPr>
    </w:lvl>
    <w:lvl w:ilvl="8" w:tplc="3502185E" w:tentative="1">
      <w:start w:val="1"/>
      <w:numFmt w:val="bullet"/>
      <w:lvlText w:val="•"/>
      <w:lvlJc w:val="left"/>
      <w:pPr>
        <w:tabs>
          <w:tab w:val="num" w:pos="6480"/>
        </w:tabs>
        <w:ind w:left="6480" w:hanging="360"/>
      </w:pPr>
      <w:rPr>
        <w:rFonts w:ascii="Arial" w:hAnsi="Arial" w:hint="default"/>
      </w:rPr>
    </w:lvl>
  </w:abstractNum>
  <w:abstractNum w:abstractNumId="11">
    <w:nsid w:val="172E6857"/>
    <w:multiLevelType w:val="hybridMultilevel"/>
    <w:tmpl w:val="19B0E308"/>
    <w:lvl w:ilvl="0" w:tplc="4B8CB1F4">
      <w:start w:val="1"/>
      <w:numFmt w:val="bullet"/>
      <w:lvlText w:val="•"/>
      <w:lvlJc w:val="left"/>
      <w:pPr>
        <w:tabs>
          <w:tab w:val="num" w:pos="720"/>
        </w:tabs>
        <w:ind w:left="720" w:hanging="360"/>
      </w:pPr>
      <w:rPr>
        <w:rFonts w:ascii="Arial" w:hAnsi="Arial" w:hint="default"/>
      </w:rPr>
    </w:lvl>
    <w:lvl w:ilvl="1" w:tplc="5158328C" w:tentative="1">
      <w:start w:val="1"/>
      <w:numFmt w:val="bullet"/>
      <w:lvlText w:val="•"/>
      <w:lvlJc w:val="left"/>
      <w:pPr>
        <w:tabs>
          <w:tab w:val="num" w:pos="1440"/>
        </w:tabs>
        <w:ind w:left="1440" w:hanging="360"/>
      </w:pPr>
      <w:rPr>
        <w:rFonts w:ascii="Arial" w:hAnsi="Arial" w:hint="default"/>
      </w:rPr>
    </w:lvl>
    <w:lvl w:ilvl="2" w:tplc="B0A43054" w:tentative="1">
      <w:start w:val="1"/>
      <w:numFmt w:val="bullet"/>
      <w:lvlText w:val="•"/>
      <w:lvlJc w:val="left"/>
      <w:pPr>
        <w:tabs>
          <w:tab w:val="num" w:pos="2160"/>
        </w:tabs>
        <w:ind w:left="2160" w:hanging="360"/>
      </w:pPr>
      <w:rPr>
        <w:rFonts w:ascii="Arial" w:hAnsi="Arial" w:hint="default"/>
      </w:rPr>
    </w:lvl>
    <w:lvl w:ilvl="3" w:tplc="7C2619B6" w:tentative="1">
      <w:start w:val="1"/>
      <w:numFmt w:val="bullet"/>
      <w:lvlText w:val="•"/>
      <w:lvlJc w:val="left"/>
      <w:pPr>
        <w:tabs>
          <w:tab w:val="num" w:pos="2880"/>
        </w:tabs>
        <w:ind w:left="2880" w:hanging="360"/>
      </w:pPr>
      <w:rPr>
        <w:rFonts w:ascii="Arial" w:hAnsi="Arial" w:hint="default"/>
      </w:rPr>
    </w:lvl>
    <w:lvl w:ilvl="4" w:tplc="BEBE14D2" w:tentative="1">
      <w:start w:val="1"/>
      <w:numFmt w:val="bullet"/>
      <w:lvlText w:val="•"/>
      <w:lvlJc w:val="left"/>
      <w:pPr>
        <w:tabs>
          <w:tab w:val="num" w:pos="3600"/>
        </w:tabs>
        <w:ind w:left="3600" w:hanging="360"/>
      </w:pPr>
      <w:rPr>
        <w:rFonts w:ascii="Arial" w:hAnsi="Arial" w:hint="default"/>
      </w:rPr>
    </w:lvl>
    <w:lvl w:ilvl="5" w:tplc="15B64B60" w:tentative="1">
      <w:start w:val="1"/>
      <w:numFmt w:val="bullet"/>
      <w:lvlText w:val="•"/>
      <w:lvlJc w:val="left"/>
      <w:pPr>
        <w:tabs>
          <w:tab w:val="num" w:pos="4320"/>
        </w:tabs>
        <w:ind w:left="4320" w:hanging="360"/>
      </w:pPr>
      <w:rPr>
        <w:rFonts w:ascii="Arial" w:hAnsi="Arial" w:hint="default"/>
      </w:rPr>
    </w:lvl>
    <w:lvl w:ilvl="6" w:tplc="FC6200AA" w:tentative="1">
      <w:start w:val="1"/>
      <w:numFmt w:val="bullet"/>
      <w:lvlText w:val="•"/>
      <w:lvlJc w:val="left"/>
      <w:pPr>
        <w:tabs>
          <w:tab w:val="num" w:pos="5040"/>
        </w:tabs>
        <w:ind w:left="5040" w:hanging="360"/>
      </w:pPr>
      <w:rPr>
        <w:rFonts w:ascii="Arial" w:hAnsi="Arial" w:hint="default"/>
      </w:rPr>
    </w:lvl>
    <w:lvl w:ilvl="7" w:tplc="BA1C653A" w:tentative="1">
      <w:start w:val="1"/>
      <w:numFmt w:val="bullet"/>
      <w:lvlText w:val="•"/>
      <w:lvlJc w:val="left"/>
      <w:pPr>
        <w:tabs>
          <w:tab w:val="num" w:pos="5760"/>
        </w:tabs>
        <w:ind w:left="5760" w:hanging="360"/>
      </w:pPr>
      <w:rPr>
        <w:rFonts w:ascii="Arial" w:hAnsi="Arial" w:hint="default"/>
      </w:rPr>
    </w:lvl>
    <w:lvl w:ilvl="8" w:tplc="F44CCB4C" w:tentative="1">
      <w:start w:val="1"/>
      <w:numFmt w:val="bullet"/>
      <w:lvlText w:val="•"/>
      <w:lvlJc w:val="left"/>
      <w:pPr>
        <w:tabs>
          <w:tab w:val="num" w:pos="6480"/>
        </w:tabs>
        <w:ind w:left="6480" w:hanging="360"/>
      </w:pPr>
      <w:rPr>
        <w:rFonts w:ascii="Arial" w:hAnsi="Arial" w:hint="default"/>
      </w:rPr>
    </w:lvl>
  </w:abstractNum>
  <w:abstractNum w:abstractNumId="12">
    <w:nsid w:val="1908739A"/>
    <w:multiLevelType w:val="hybridMultilevel"/>
    <w:tmpl w:val="F45E4F3C"/>
    <w:lvl w:ilvl="0" w:tplc="A7FCE1D2">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212D64"/>
    <w:multiLevelType w:val="hybridMultilevel"/>
    <w:tmpl w:val="7C5EB2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690F5C"/>
    <w:multiLevelType w:val="hybridMultilevel"/>
    <w:tmpl w:val="14E887DE"/>
    <w:lvl w:ilvl="0" w:tplc="63588282">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A64231"/>
    <w:multiLevelType w:val="hybridMultilevel"/>
    <w:tmpl w:val="097C587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5306CA6"/>
    <w:multiLevelType w:val="hybridMultilevel"/>
    <w:tmpl w:val="DBDC0722"/>
    <w:lvl w:ilvl="0" w:tplc="274A88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6C6AE1"/>
    <w:multiLevelType w:val="hybridMultilevel"/>
    <w:tmpl w:val="2B3E3FC6"/>
    <w:lvl w:ilvl="0" w:tplc="41FE2DEC">
      <w:start w:val="4"/>
      <w:numFmt w:val="bullet"/>
      <w:lvlText w:val="-"/>
      <w:lvlJc w:val="left"/>
      <w:pPr>
        <w:ind w:left="720" w:hanging="360"/>
      </w:pPr>
      <w:rPr>
        <w:rFonts w:ascii="Leelawadee" w:eastAsiaTheme="minorHAnsi" w:hAnsi="Leelawadee" w:cs="Leelawade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8022E5"/>
    <w:multiLevelType w:val="hybridMultilevel"/>
    <w:tmpl w:val="E61E9C70"/>
    <w:lvl w:ilvl="0" w:tplc="41FE2DEC">
      <w:start w:val="4"/>
      <w:numFmt w:val="bullet"/>
      <w:lvlText w:val="-"/>
      <w:lvlJc w:val="left"/>
      <w:pPr>
        <w:ind w:left="720" w:hanging="360"/>
      </w:pPr>
      <w:rPr>
        <w:rFonts w:ascii="Leelawadee" w:eastAsiaTheme="minorHAnsi" w:hAnsi="Leelawadee" w:cs="Leelawadee"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C725CD"/>
    <w:multiLevelType w:val="hybridMultilevel"/>
    <w:tmpl w:val="1E32E9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886345"/>
    <w:multiLevelType w:val="hybridMultilevel"/>
    <w:tmpl w:val="333C044E"/>
    <w:lvl w:ilvl="0" w:tplc="41FE2DEC">
      <w:start w:val="4"/>
      <w:numFmt w:val="bullet"/>
      <w:lvlText w:val="-"/>
      <w:lvlJc w:val="left"/>
      <w:pPr>
        <w:ind w:left="720" w:hanging="360"/>
      </w:pPr>
      <w:rPr>
        <w:rFonts w:ascii="Leelawadee" w:eastAsiaTheme="minorHAnsi" w:hAnsi="Leelawadee" w:cs="Leelawadee"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F54956"/>
    <w:multiLevelType w:val="hybridMultilevel"/>
    <w:tmpl w:val="5AD4D1F0"/>
    <w:lvl w:ilvl="0" w:tplc="274A885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26328B1"/>
    <w:multiLevelType w:val="hybridMultilevel"/>
    <w:tmpl w:val="8B4EB824"/>
    <w:lvl w:ilvl="0" w:tplc="274A88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B47EE7"/>
    <w:multiLevelType w:val="hybridMultilevel"/>
    <w:tmpl w:val="633676A6"/>
    <w:lvl w:ilvl="0" w:tplc="E7EE41E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BC36045"/>
    <w:multiLevelType w:val="hybridMultilevel"/>
    <w:tmpl w:val="28AA8DDE"/>
    <w:lvl w:ilvl="0" w:tplc="41FE2DEC">
      <w:start w:val="4"/>
      <w:numFmt w:val="bullet"/>
      <w:lvlText w:val="-"/>
      <w:lvlJc w:val="left"/>
      <w:pPr>
        <w:ind w:left="1440" w:hanging="360"/>
      </w:pPr>
      <w:rPr>
        <w:rFonts w:ascii="Leelawadee" w:eastAsiaTheme="minorHAnsi" w:hAnsi="Leelawadee" w:cs="Leelawadee"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C8A3F70"/>
    <w:multiLevelType w:val="hybridMultilevel"/>
    <w:tmpl w:val="D1D8C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D305CC"/>
    <w:multiLevelType w:val="hybridMultilevel"/>
    <w:tmpl w:val="01FA40F0"/>
    <w:lvl w:ilvl="0" w:tplc="274A885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9179FC"/>
    <w:multiLevelType w:val="hybridMultilevel"/>
    <w:tmpl w:val="230CF9EE"/>
    <w:lvl w:ilvl="0" w:tplc="274A885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0B354B9"/>
    <w:multiLevelType w:val="hybridMultilevel"/>
    <w:tmpl w:val="4D0E78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E23BA9"/>
    <w:multiLevelType w:val="hybridMultilevel"/>
    <w:tmpl w:val="4D0E78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031D1A"/>
    <w:multiLevelType w:val="hybridMultilevel"/>
    <w:tmpl w:val="66B47F0E"/>
    <w:lvl w:ilvl="0" w:tplc="274A88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B66CC4"/>
    <w:multiLevelType w:val="hybridMultilevel"/>
    <w:tmpl w:val="4D0E78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A11F87"/>
    <w:multiLevelType w:val="hybridMultilevel"/>
    <w:tmpl w:val="7D3CF784"/>
    <w:lvl w:ilvl="0" w:tplc="274A8850">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nsid w:val="7B622146"/>
    <w:multiLevelType w:val="hybridMultilevel"/>
    <w:tmpl w:val="6E88F2F6"/>
    <w:lvl w:ilvl="0" w:tplc="274A885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DC3656F"/>
    <w:multiLevelType w:val="hybridMultilevel"/>
    <w:tmpl w:val="E81E70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484ABC"/>
    <w:multiLevelType w:val="hybridMultilevel"/>
    <w:tmpl w:val="81BCB2B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14"/>
  </w:num>
  <w:num w:numId="4">
    <w:abstractNumId w:val="34"/>
  </w:num>
  <w:num w:numId="5">
    <w:abstractNumId w:val="2"/>
  </w:num>
  <w:num w:numId="6">
    <w:abstractNumId w:val="12"/>
  </w:num>
  <w:num w:numId="7">
    <w:abstractNumId w:val="0"/>
  </w:num>
  <w:num w:numId="8">
    <w:abstractNumId w:val="28"/>
  </w:num>
  <w:num w:numId="9">
    <w:abstractNumId w:val="31"/>
  </w:num>
  <w:num w:numId="10">
    <w:abstractNumId w:val="9"/>
  </w:num>
  <w:num w:numId="11">
    <w:abstractNumId w:val="24"/>
  </w:num>
  <w:num w:numId="12">
    <w:abstractNumId w:val="22"/>
  </w:num>
  <w:num w:numId="13">
    <w:abstractNumId w:val="35"/>
  </w:num>
  <w:num w:numId="14">
    <w:abstractNumId w:val="4"/>
  </w:num>
  <w:num w:numId="15">
    <w:abstractNumId w:val="15"/>
  </w:num>
  <w:num w:numId="16">
    <w:abstractNumId w:val="18"/>
  </w:num>
  <w:num w:numId="17">
    <w:abstractNumId w:val="26"/>
  </w:num>
  <w:num w:numId="18">
    <w:abstractNumId w:val="33"/>
  </w:num>
  <w:num w:numId="19">
    <w:abstractNumId w:val="3"/>
  </w:num>
  <w:num w:numId="20">
    <w:abstractNumId w:val="16"/>
  </w:num>
  <w:num w:numId="21">
    <w:abstractNumId w:val="27"/>
  </w:num>
  <w:num w:numId="22">
    <w:abstractNumId w:val="8"/>
  </w:num>
  <w:num w:numId="23">
    <w:abstractNumId w:val="21"/>
  </w:num>
  <w:num w:numId="24">
    <w:abstractNumId w:val="32"/>
  </w:num>
  <w:num w:numId="25">
    <w:abstractNumId w:val="25"/>
  </w:num>
  <w:num w:numId="26">
    <w:abstractNumId w:val="30"/>
  </w:num>
  <w:num w:numId="27">
    <w:abstractNumId w:val="1"/>
  </w:num>
  <w:num w:numId="28">
    <w:abstractNumId w:val="13"/>
  </w:num>
  <w:num w:numId="29">
    <w:abstractNumId w:val="29"/>
  </w:num>
  <w:num w:numId="30">
    <w:abstractNumId w:val="23"/>
  </w:num>
  <w:num w:numId="31">
    <w:abstractNumId w:val="6"/>
  </w:num>
  <w:num w:numId="32">
    <w:abstractNumId w:val="7"/>
  </w:num>
  <w:num w:numId="33">
    <w:abstractNumId w:val="19"/>
  </w:num>
  <w:num w:numId="34">
    <w:abstractNumId w:val="5"/>
  </w:num>
  <w:num w:numId="35">
    <w:abstractNumId w:val="11"/>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49F"/>
    <w:rsid w:val="00001FB9"/>
    <w:rsid w:val="000030B2"/>
    <w:rsid w:val="000178B0"/>
    <w:rsid w:val="00017AD2"/>
    <w:rsid w:val="00024075"/>
    <w:rsid w:val="00025D42"/>
    <w:rsid w:val="00032D99"/>
    <w:rsid w:val="00034C1B"/>
    <w:rsid w:val="00043E3E"/>
    <w:rsid w:val="000513C4"/>
    <w:rsid w:val="0005185C"/>
    <w:rsid w:val="00052ED3"/>
    <w:rsid w:val="00060422"/>
    <w:rsid w:val="000636DB"/>
    <w:rsid w:val="00072B70"/>
    <w:rsid w:val="00082474"/>
    <w:rsid w:val="0008678E"/>
    <w:rsid w:val="000933D9"/>
    <w:rsid w:val="000946FA"/>
    <w:rsid w:val="00094CC8"/>
    <w:rsid w:val="00095D90"/>
    <w:rsid w:val="0009661B"/>
    <w:rsid w:val="000A2AB6"/>
    <w:rsid w:val="000B058C"/>
    <w:rsid w:val="000B0A2E"/>
    <w:rsid w:val="000B0AC3"/>
    <w:rsid w:val="000B2214"/>
    <w:rsid w:val="000B26BB"/>
    <w:rsid w:val="000C2FDA"/>
    <w:rsid w:val="000C76C5"/>
    <w:rsid w:val="000D1B2F"/>
    <w:rsid w:val="000D4F97"/>
    <w:rsid w:val="000E1551"/>
    <w:rsid w:val="000E3B87"/>
    <w:rsid w:val="000E5F0D"/>
    <w:rsid w:val="000F2754"/>
    <w:rsid w:val="000F29AB"/>
    <w:rsid w:val="000F575B"/>
    <w:rsid w:val="000F6D8E"/>
    <w:rsid w:val="00103811"/>
    <w:rsid w:val="00110955"/>
    <w:rsid w:val="0011287B"/>
    <w:rsid w:val="00115FE1"/>
    <w:rsid w:val="0011742F"/>
    <w:rsid w:val="001350BC"/>
    <w:rsid w:val="00135650"/>
    <w:rsid w:val="00140EF0"/>
    <w:rsid w:val="00145D58"/>
    <w:rsid w:val="00147785"/>
    <w:rsid w:val="00147CC9"/>
    <w:rsid w:val="0015111B"/>
    <w:rsid w:val="00152E5D"/>
    <w:rsid w:val="00155759"/>
    <w:rsid w:val="00155A5D"/>
    <w:rsid w:val="001619D7"/>
    <w:rsid w:val="00165A30"/>
    <w:rsid w:val="001662B7"/>
    <w:rsid w:val="00167403"/>
    <w:rsid w:val="00173B0C"/>
    <w:rsid w:val="00176098"/>
    <w:rsid w:val="00176890"/>
    <w:rsid w:val="001808A0"/>
    <w:rsid w:val="00185B4F"/>
    <w:rsid w:val="0018668E"/>
    <w:rsid w:val="001913B4"/>
    <w:rsid w:val="00195C2C"/>
    <w:rsid w:val="001A0AD2"/>
    <w:rsid w:val="001A31B4"/>
    <w:rsid w:val="001A6B67"/>
    <w:rsid w:val="001B5390"/>
    <w:rsid w:val="001C2CCA"/>
    <w:rsid w:val="001C2DD5"/>
    <w:rsid w:val="001C36E5"/>
    <w:rsid w:val="001C653E"/>
    <w:rsid w:val="001D14A0"/>
    <w:rsid w:val="001F1A6C"/>
    <w:rsid w:val="00201FA7"/>
    <w:rsid w:val="002065CA"/>
    <w:rsid w:val="00206FB8"/>
    <w:rsid w:val="002071C3"/>
    <w:rsid w:val="00207D89"/>
    <w:rsid w:val="002200B5"/>
    <w:rsid w:val="002370EC"/>
    <w:rsid w:val="00237EAA"/>
    <w:rsid w:val="00242557"/>
    <w:rsid w:val="002430B8"/>
    <w:rsid w:val="00243E19"/>
    <w:rsid w:val="00244424"/>
    <w:rsid w:val="00246FC5"/>
    <w:rsid w:val="00247B35"/>
    <w:rsid w:val="00250E8B"/>
    <w:rsid w:val="00253510"/>
    <w:rsid w:val="00254089"/>
    <w:rsid w:val="00255054"/>
    <w:rsid w:val="0026071E"/>
    <w:rsid w:val="00275EE0"/>
    <w:rsid w:val="00281DD5"/>
    <w:rsid w:val="00283543"/>
    <w:rsid w:val="00285BC9"/>
    <w:rsid w:val="002860B2"/>
    <w:rsid w:val="00287AA0"/>
    <w:rsid w:val="00297190"/>
    <w:rsid w:val="002B569C"/>
    <w:rsid w:val="002C7766"/>
    <w:rsid w:val="002E429C"/>
    <w:rsid w:val="002E5AB1"/>
    <w:rsid w:val="002E650C"/>
    <w:rsid w:val="00302F89"/>
    <w:rsid w:val="0030516D"/>
    <w:rsid w:val="0031503D"/>
    <w:rsid w:val="00316516"/>
    <w:rsid w:val="003166DC"/>
    <w:rsid w:val="00321B8E"/>
    <w:rsid w:val="00327AFC"/>
    <w:rsid w:val="00330E20"/>
    <w:rsid w:val="0033264D"/>
    <w:rsid w:val="00333A0C"/>
    <w:rsid w:val="00344E29"/>
    <w:rsid w:val="00346898"/>
    <w:rsid w:val="00353F7F"/>
    <w:rsid w:val="003557E3"/>
    <w:rsid w:val="00355F7E"/>
    <w:rsid w:val="00362D6A"/>
    <w:rsid w:val="003631A8"/>
    <w:rsid w:val="00363BEF"/>
    <w:rsid w:val="003705DD"/>
    <w:rsid w:val="00373E9D"/>
    <w:rsid w:val="00374C53"/>
    <w:rsid w:val="0037519F"/>
    <w:rsid w:val="00380079"/>
    <w:rsid w:val="00390F30"/>
    <w:rsid w:val="00393FB9"/>
    <w:rsid w:val="003A3A0B"/>
    <w:rsid w:val="003A3A4A"/>
    <w:rsid w:val="003B01FF"/>
    <w:rsid w:val="003B1BC7"/>
    <w:rsid w:val="003B24A1"/>
    <w:rsid w:val="003B6DC8"/>
    <w:rsid w:val="003C2E51"/>
    <w:rsid w:val="003C2E90"/>
    <w:rsid w:val="003D0C59"/>
    <w:rsid w:val="003D376C"/>
    <w:rsid w:val="003D46AB"/>
    <w:rsid w:val="003D6357"/>
    <w:rsid w:val="003D7D1B"/>
    <w:rsid w:val="003E0CAD"/>
    <w:rsid w:val="003E597C"/>
    <w:rsid w:val="003E78E1"/>
    <w:rsid w:val="003F4CBD"/>
    <w:rsid w:val="003F5163"/>
    <w:rsid w:val="004005EB"/>
    <w:rsid w:val="0040428E"/>
    <w:rsid w:val="004072B0"/>
    <w:rsid w:val="00410599"/>
    <w:rsid w:val="004106B8"/>
    <w:rsid w:val="004152C7"/>
    <w:rsid w:val="00416890"/>
    <w:rsid w:val="00421CC1"/>
    <w:rsid w:val="0042382F"/>
    <w:rsid w:val="00425C70"/>
    <w:rsid w:val="00425E0C"/>
    <w:rsid w:val="00442694"/>
    <w:rsid w:val="0045590E"/>
    <w:rsid w:val="00460CD2"/>
    <w:rsid w:val="004617CB"/>
    <w:rsid w:val="00466F6F"/>
    <w:rsid w:val="004737EC"/>
    <w:rsid w:val="004773BD"/>
    <w:rsid w:val="00482152"/>
    <w:rsid w:val="004829CD"/>
    <w:rsid w:val="0048494B"/>
    <w:rsid w:val="00490FD8"/>
    <w:rsid w:val="004918B3"/>
    <w:rsid w:val="00492B01"/>
    <w:rsid w:val="004A6B23"/>
    <w:rsid w:val="004B3886"/>
    <w:rsid w:val="004B3A9F"/>
    <w:rsid w:val="004B4A7A"/>
    <w:rsid w:val="004B772C"/>
    <w:rsid w:val="004C0BE8"/>
    <w:rsid w:val="004C2568"/>
    <w:rsid w:val="004C332D"/>
    <w:rsid w:val="004C4010"/>
    <w:rsid w:val="004C4444"/>
    <w:rsid w:val="004C74B7"/>
    <w:rsid w:val="004D0A33"/>
    <w:rsid w:val="004D1079"/>
    <w:rsid w:val="004D2741"/>
    <w:rsid w:val="004D620E"/>
    <w:rsid w:val="004E00F4"/>
    <w:rsid w:val="004E139A"/>
    <w:rsid w:val="004E6F8B"/>
    <w:rsid w:val="0050047D"/>
    <w:rsid w:val="00500EA8"/>
    <w:rsid w:val="005111FC"/>
    <w:rsid w:val="00515345"/>
    <w:rsid w:val="00520868"/>
    <w:rsid w:val="00521D50"/>
    <w:rsid w:val="00524AEA"/>
    <w:rsid w:val="0053241A"/>
    <w:rsid w:val="00532CEA"/>
    <w:rsid w:val="00533171"/>
    <w:rsid w:val="005334FD"/>
    <w:rsid w:val="00533C4E"/>
    <w:rsid w:val="00536EF4"/>
    <w:rsid w:val="00537AD2"/>
    <w:rsid w:val="00540FF4"/>
    <w:rsid w:val="00546BDA"/>
    <w:rsid w:val="005516F4"/>
    <w:rsid w:val="00551BB2"/>
    <w:rsid w:val="0055318D"/>
    <w:rsid w:val="005577C4"/>
    <w:rsid w:val="00560AB5"/>
    <w:rsid w:val="00564997"/>
    <w:rsid w:val="005679C3"/>
    <w:rsid w:val="00570FA4"/>
    <w:rsid w:val="00576C14"/>
    <w:rsid w:val="005842A6"/>
    <w:rsid w:val="0059465A"/>
    <w:rsid w:val="005A134B"/>
    <w:rsid w:val="005A6CD7"/>
    <w:rsid w:val="005B0698"/>
    <w:rsid w:val="005B3082"/>
    <w:rsid w:val="005C5FAD"/>
    <w:rsid w:val="005D3180"/>
    <w:rsid w:val="005D7D41"/>
    <w:rsid w:val="005F029B"/>
    <w:rsid w:val="005F0C7D"/>
    <w:rsid w:val="0060617A"/>
    <w:rsid w:val="0061113F"/>
    <w:rsid w:val="00611D01"/>
    <w:rsid w:val="00611E65"/>
    <w:rsid w:val="00612DCC"/>
    <w:rsid w:val="00613BC5"/>
    <w:rsid w:val="006166D5"/>
    <w:rsid w:val="00620D83"/>
    <w:rsid w:val="00624D88"/>
    <w:rsid w:val="00625158"/>
    <w:rsid w:val="0062550B"/>
    <w:rsid w:val="00626EAA"/>
    <w:rsid w:val="0062787C"/>
    <w:rsid w:val="0063527D"/>
    <w:rsid w:val="00636BA3"/>
    <w:rsid w:val="006508EB"/>
    <w:rsid w:val="0065132B"/>
    <w:rsid w:val="0065435B"/>
    <w:rsid w:val="00655E65"/>
    <w:rsid w:val="006603CD"/>
    <w:rsid w:val="00660688"/>
    <w:rsid w:val="00666499"/>
    <w:rsid w:val="006701F7"/>
    <w:rsid w:val="00684A0D"/>
    <w:rsid w:val="00690CB3"/>
    <w:rsid w:val="006A53E4"/>
    <w:rsid w:val="006A5DA7"/>
    <w:rsid w:val="006A670A"/>
    <w:rsid w:val="006B7E93"/>
    <w:rsid w:val="006C4A66"/>
    <w:rsid w:val="006C72A7"/>
    <w:rsid w:val="006D578A"/>
    <w:rsid w:val="006E2DD1"/>
    <w:rsid w:val="006F46D7"/>
    <w:rsid w:val="006F51E4"/>
    <w:rsid w:val="006F59AC"/>
    <w:rsid w:val="006F602C"/>
    <w:rsid w:val="006F7CD2"/>
    <w:rsid w:val="00702F60"/>
    <w:rsid w:val="00711AE6"/>
    <w:rsid w:val="007124C6"/>
    <w:rsid w:val="00713377"/>
    <w:rsid w:val="007148B2"/>
    <w:rsid w:val="007304DB"/>
    <w:rsid w:val="00730925"/>
    <w:rsid w:val="00732111"/>
    <w:rsid w:val="00734018"/>
    <w:rsid w:val="007442B7"/>
    <w:rsid w:val="00745180"/>
    <w:rsid w:val="0077022F"/>
    <w:rsid w:val="00774959"/>
    <w:rsid w:val="00776C92"/>
    <w:rsid w:val="007867D6"/>
    <w:rsid w:val="0079047F"/>
    <w:rsid w:val="00791966"/>
    <w:rsid w:val="00796A73"/>
    <w:rsid w:val="007A1FED"/>
    <w:rsid w:val="007A53F2"/>
    <w:rsid w:val="007B270C"/>
    <w:rsid w:val="007B57CC"/>
    <w:rsid w:val="007B61BA"/>
    <w:rsid w:val="007B6EFC"/>
    <w:rsid w:val="007C29F2"/>
    <w:rsid w:val="007C3103"/>
    <w:rsid w:val="007C35CB"/>
    <w:rsid w:val="007C3F49"/>
    <w:rsid w:val="007D3294"/>
    <w:rsid w:val="007D55BB"/>
    <w:rsid w:val="007D7C8E"/>
    <w:rsid w:val="007E3FBF"/>
    <w:rsid w:val="007E6030"/>
    <w:rsid w:val="00806CE9"/>
    <w:rsid w:val="008226DF"/>
    <w:rsid w:val="0082368F"/>
    <w:rsid w:val="00824117"/>
    <w:rsid w:val="00833C3E"/>
    <w:rsid w:val="00834751"/>
    <w:rsid w:val="00835F0B"/>
    <w:rsid w:val="00836492"/>
    <w:rsid w:val="008418C5"/>
    <w:rsid w:val="00843E88"/>
    <w:rsid w:val="00844990"/>
    <w:rsid w:val="00850EF2"/>
    <w:rsid w:val="00850F86"/>
    <w:rsid w:val="00852F8B"/>
    <w:rsid w:val="0085349F"/>
    <w:rsid w:val="008635A9"/>
    <w:rsid w:val="00863BF0"/>
    <w:rsid w:val="008664C3"/>
    <w:rsid w:val="008871FE"/>
    <w:rsid w:val="008923F8"/>
    <w:rsid w:val="00892419"/>
    <w:rsid w:val="008928C2"/>
    <w:rsid w:val="00892EA8"/>
    <w:rsid w:val="00894CA6"/>
    <w:rsid w:val="008A0A06"/>
    <w:rsid w:val="008A150E"/>
    <w:rsid w:val="008A4280"/>
    <w:rsid w:val="008B4EB1"/>
    <w:rsid w:val="008E398E"/>
    <w:rsid w:val="008E78EE"/>
    <w:rsid w:val="008F438F"/>
    <w:rsid w:val="008F5933"/>
    <w:rsid w:val="009043E7"/>
    <w:rsid w:val="009049D6"/>
    <w:rsid w:val="009124F0"/>
    <w:rsid w:val="009225D4"/>
    <w:rsid w:val="0092607A"/>
    <w:rsid w:val="009270D0"/>
    <w:rsid w:val="00931AA6"/>
    <w:rsid w:val="00934BB8"/>
    <w:rsid w:val="00935BA8"/>
    <w:rsid w:val="009371AF"/>
    <w:rsid w:val="00943079"/>
    <w:rsid w:val="00951B95"/>
    <w:rsid w:val="00952347"/>
    <w:rsid w:val="009670F8"/>
    <w:rsid w:val="00970681"/>
    <w:rsid w:val="00970CD8"/>
    <w:rsid w:val="00973899"/>
    <w:rsid w:val="00976C98"/>
    <w:rsid w:val="0098061C"/>
    <w:rsid w:val="009806E8"/>
    <w:rsid w:val="00987514"/>
    <w:rsid w:val="009B331D"/>
    <w:rsid w:val="009B435F"/>
    <w:rsid w:val="009C0279"/>
    <w:rsid w:val="009C18F6"/>
    <w:rsid w:val="009C3A3E"/>
    <w:rsid w:val="009C5231"/>
    <w:rsid w:val="009D1D31"/>
    <w:rsid w:val="009D47A8"/>
    <w:rsid w:val="009E04BE"/>
    <w:rsid w:val="009E25D6"/>
    <w:rsid w:val="009F4910"/>
    <w:rsid w:val="009F6E7D"/>
    <w:rsid w:val="009F7A03"/>
    <w:rsid w:val="00A01719"/>
    <w:rsid w:val="00A109AA"/>
    <w:rsid w:val="00A136A3"/>
    <w:rsid w:val="00A205EA"/>
    <w:rsid w:val="00A20602"/>
    <w:rsid w:val="00A25EC8"/>
    <w:rsid w:val="00A36EF2"/>
    <w:rsid w:val="00A41BE2"/>
    <w:rsid w:val="00A52BC7"/>
    <w:rsid w:val="00A61C4D"/>
    <w:rsid w:val="00A64474"/>
    <w:rsid w:val="00A678BB"/>
    <w:rsid w:val="00A736B3"/>
    <w:rsid w:val="00A742CB"/>
    <w:rsid w:val="00A774C4"/>
    <w:rsid w:val="00A92BF4"/>
    <w:rsid w:val="00A97625"/>
    <w:rsid w:val="00AB24B3"/>
    <w:rsid w:val="00AC323D"/>
    <w:rsid w:val="00AC7CD8"/>
    <w:rsid w:val="00AD4DD9"/>
    <w:rsid w:val="00AD5B6C"/>
    <w:rsid w:val="00AE067A"/>
    <w:rsid w:val="00AE5FD0"/>
    <w:rsid w:val="00AF2ACB"/>
    <w:rsid w:val="00AF56E8"/>
    <w:rsid w:val="00B046B2"/>
    <w:rsid w:val="00B05186"/>
    <w:rsid w:val="00B10B71"/>
    <w:rsid w:val="00B14191"/>
    <w:rsid w:val="00B1556F"/>
    <w:rsid w:val="00B15F8E"/>
    <w:rsid w:val="00B1734F"/>
    <w:rsid w:val="00B1778F"/>
    <w:rsid w:val="00B2132F"/>
    <w:rsid w:val="00B22029"/>
    <w:rsid w:val="00B304CA"/>
    <w:rsid w:val="00B32582"/>
    <w:rsid w:val="00B36EC4"/>
    <w:rsid w:val="00B43069"/>
    <w:rsid w:val="00B44A2A"/>
    <w:rsid w:val="00B45BBF"/>
    <w:rsid w:val="00B46304"/>
    <w:rsid w:val="00B55790"/>
    <w:rsid w:val="00B55897"/>
    <w:rsid w:val="00B66FBE"/>
    <w:rsid w:val="00B67816"/>
    <w:rsid w:val="00B72292"/>
    <w:rsid w:val="00B73B2A"/>
    <w:rsid w:val="00B77814"/>
    <w:rsid w:val="00B91158"/>
    <w:rsid w:val="00B91855"/>
    <w:rsid w:val="00B91C43"/>
    <w:rsid w:val="00B92643"/>
    <w:rsid w:val="00B9396B"/>
    <w:rsid w:val="00B95CE1"/>
    <w:rsid w:val="00B964FF"/>
    <w:rsid w:val="00B969F2"/>
    <w:rsid w:val="00B9754E"/>
    <w:rsid w:val="00BA4474"/>
    <w:rsid w:val="00BA5B19"/>
    <w:rsid w:val="00BB428A"/>
    <w:rsid w:val="00BB4DE2"/>
    <w:rsid w:val="00BB643A"/>
    <w:rsid w:val="00BB6D44"/>
    <w:rsid w:val="00BC0BEC"/>
    <w:rsid w:val="00BC417C"/>
    <w:rsid w:val="00BC513F"/>
    <w:rsid w:val="00BD6FC5"/>
    <w:rsid w:val="00BE0E23"/>
    <w:rsid w:val="00BE3E92"/>
    <w:rsid w:val="00BF2219"/>
    <w:rsid w:val="00C027C7"/>
    <w:rsid w:val="00C0687F"/>
    <w:rsid w:val="00C210BB"/>
    <w:rsid w:val="00C25E0F"/>
    <w:rsid w:val="00C309FC"/>
    <w:rsid w:val="00C32E3A"/>
    <w:rsid w:val="00C36877"/>
    <w:rsid w:val="00C44AEC"/>
    <w:rsid w:val="00C5268E"/>
    <w:rsid w:val="00C54853"/>
    <w:rsid w:val="00C577D4"/>
    <w:rsid w:val="00C65B51"/>
    <w:rsid w:val="00C678D1"/>
    <w:rsid w:val="00C72DCD"/>
    <w:rsid w:val="00C75D91"/>
    <w:rsid w:val="00C8069E"/>
    <w:rsid w:val="00C81C2D"/>
    <w:rsid w:val="00C8407C"/>
    <w:rsid w:val="00C90DB0"/>
    <w:rsid w:val="00C9379A"/>
    <w:rsid w:val="00C972BA"/>
    <w:rsid w:val="00CA5A57"/>
    <w:rsid w:val="00CB0B6A"/>
    <w:rsid w:val="00CB396C"/>
    <w:rsid w:val="00CB3C85"/>
    <w:rsid w:val="00CC22C3"/>
    <w:rsid w:val="00CC4B80"/>
    <w:rsid w:val="00CD1959"/>
    <w:rsid w:val="00CD275C"/>
    <w:rsid w:val="00CD4CDC"/>
    <w:rsid w:val="00CD4D3B"/>
    <w:rsid w:val="00CD50CC"/>
    <w:rsid w:val="00CE07F7"/>
    <w:rsid w:val="00CE291F"/>
    <w:rsid w:val="00CE4A0D"/>
    <w:rsid w:val="00CE5254"/>
    <w:rsid w:val="00D01704"/>
    <w:rsid w:val="00D03D25"/>
    <w:rsid w:val="00D0436A"/>
    <w:rsid w:val="00D138FD"/>
    <w:rsid w:val="00D14181"/>
    <w:rsid w:val="00D143DE"/>
    <w:rsid w:val="00D144F5"/>
    <w:rsid w:val="00D163B0"/>
    <w:rsid w:val="00D166A9"/>
    <w:rsid w:val="00D2016B"/>
    <w:rsid w:val="00D21AB5"/>
    <w:rsid w:val="00D3031B"/>
    <w:rsid w:val="00D33F6F"/>
    <w:rsid w:val="00D35A89"/>
    <w:rsid w:val="00D436F6"/>
    <w:rsid w:val="00D44C99"/>
    <w:rsid w:val="00D4739A"/>
    <w:rsid w:val="00D538A2"/>
    <w:rsid w:val="00D55C68"/>
    <w:rsid w:val="00D6369F"/>
    <w:rsid w:val="00D63E71"/>
    <w:rsid w:val="00D733E0"/>
    <w:rsid w:val="00D81F90"/>
    <w:rsid w:val="00D839BB"/>
    <w:rsid w:val="00D83FD6"/>
    <w:rsid w:val="00D85664"/>
    <w:rsid w:val="00D86A0C"/>
    <w:rsid w:val="00D95567"/>
    <w:rsid w:val="00DA3D94"/>
    <w:rsid w:val="00DA576B"/>
    <w:rsid w:val="00DC4708"/>
    <w:rsid w:val="00DD0D88"/>
    <w:rsid w:val="00DD3138"/>
    <w:rsid w:val="00DD6D7E"/>
    <w:rsid w:val="00DF0715"/>
    <w:rsid w:val="00DF22AB"/>
    <w:rsid w:val="00DF31AD"/>
    <w:rsid w:val="00DF456A"/>
    <w:rsid w:val="00DF48A4"/>
    <w:rsid w:val="00E05E93"/>
    <w:rsid w:val="00E06A0D"/>
    <w:rsid w:val="00E1230B"/>
    <w:rsid w:val="00E12918"/>
    <w:rsid w:val="00E13302"/>
    <w:rsid w:val="00E13709"/>
    <w:rsid w:val="00E14F3F"/>
    <w:rsid w:val="00E15D7F"/>
    <w:rsid w:val="00E16C2A"/>
    <w:rsid w:val="00E16C35"/>
    <w:rsid w:val="00E23F64"/>
    <w:rsid w:val="00E304A1"/>
    <w:rsid w:val="00E30B4D"/>
    <w:rsid w:val="00E351E2"/>
    <w:rsid w:val="00E352E5"/>
    <w:rsid w:val="00E36E0E"/>
    <w:rsid w:val="00E376A2"/>
    <w:rsid w:val="00E41E95"/>
    <w:rsid w:val="00E46D91"/>
    <w:rsid w:val="00E47621"/>
    <w:rsid w:val="00E50F52"/>
    <w:rsid w:val="00E54B85"/>
    <w:rsid w:val="00E63BC7"/>
    <w:rsid w:val="00E6602F"/>
    <w:rsid w:val="00E66781"/>
    <w:rsid w:val="00E66ECD"/>
    <w:rsid w:val="00E70D98"/>
    <w:rsid w:val="00E7159D"/>
    <w:rsid w:val="00E72333"/>
    <w:rsid w:val="00E823D3"/>
    <w:rsid w:val="00E87852"/>
    <w:rsid w:val="00E90790"/>
    <w:rsid w:val="00EA0D4F"/>
    <w:rsid w:val="00EC08E4"/>
    <w:rsid w:val="00EC2832"/>
    <w:rsid w:val="00EC3694"/>
    <w:rsid w:val="00EC482D"/>
    <w:rsid w:val="00EC55F5"/>
    <w:rsid w:val="00EE4A52"/>
    <w:rsid w:val="00EE7439"/>
    <w:rsid w:val="00EF7F67"/>
    <w:rsid w:val="00F02439"/>
    <w:rsid w:val="00F03BBC"/>
    <w:rsid w:val="00F0764D"/>
    <w:rsid w:val="00F17070"/>
    <w:rsid w:val="00F23DAC"/>
    <w:rsid w:val="00F279F8"/>
    <w:rsid w:val="00F3260C"/>
    <w:rsid w:val="00F340FA"/>
    <w:rsid w:val="00F349BA"/>
    <w:rsid w:val="00F35A80"/>
    <w:rsid w:val="00F36884"/>
    <w:rsid w:val="00F36C05"/>
    <w:rsid w:val="00F431AE"/>
    <w:rsid w:val="00F456D4"/>
    <w:rsid w:val="00F4584E"/>
    <w:rsid w:val="00F55951"/>
    <w:rsid w:val="00F63C43"/>
    <w:rsid w:val="00F75319"/>
    <w:rsid w:val="00F93A78"/>
    <w:rsid w:val="00FA480A"/>
    <w:rsid w:val="00FA6A28"/>
    <w:rsid w:val="00FA6B02"/>
    <w:rsid w:val="00FB494F"/>
    <w:rsid w:val="00FC0070"/>
    <w:rsid w:val="00FC3FA6"/>
    <w:rsid w:val="00FC603E"/>
    <w:rsid w:val="00FD6504"/>
    <w:rsid w:val="00FE0BB1"/>
    <w:rsid w:val="00FE5480"/>
    <w:rsid w:val="00FE73BD"/>
    <w:rsid w:val="00FF7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E0F"/>
    <w:rPr>
      <w:lang w:val="fr-FR"/>
    </w:rPr>
  </w:style>
  <w:style w:type="paragraph" w:styleId="Heading1">
    <w:name w:val="heading 1"/>
    <w:basedOn w:val="Normal"/>
    <w:next w:val="Normal"/>
    <w:link w:val="Heading1Char"/>
    <w:uiPriority w:val="9"/>
    <w:qFormat/>
    <w:rsid w:val="00520868"/>
    <w:pPr>
      <w:keepNext/>
      <w:keepLines/>
      <w:spacing w:before="240" w:after="0"/>
      <w:outlineLvl w:val="0"/>
    </w:pPr>
    <w:rPr>
      <w:rFonts w:asciiTheme="majorHAnsi" w:eastAsiaTheme="majorEastAsia" w:hAnsiTheme="majorHAnsi" w:cstheme="majorBidi"/>
      <w:color w:val="0F6E34" w:themeColor="accent1" w:themeShade="BF"/>
      <w:sz w:val="32"/>
      <w:szCs w:val="32"/>
    </w:rPr>
  </w:style>
  <w:style w:type="paragraph" w:styleId="Heading2">
    <w:name w:val="heading 2"/>
    <w:basedOn w:val="Normal"/>
    <w:next w:val="Normal"/>
    <w:link w:val="Heading2Char"/>
    <w:uiPriority w:val="9"/>
    <w:unhideWhenUsed/>
    <w:qFormat/>
    <w:rsid w:val="00520868"/>
    <w:pPr>
      <w:keepNext/>
      <w:keepLines/>
      <w:spacing w:before="40" w:after="0"/>
      <w:outlineLvl w:val="1"/>
    </w:pPr>
    <w:rPr>
      <w:rFonts w:asciiTheme="majorHAnsi" w:eastAsiaTheme="majorEastAsia" w:hAnsiTheme="majorHAnsi" w:cstheme="majorBidi"/>
      <w:color w:val="0F6E34" w:themeColor="accent1" w:themeShade="BF"/>
      <w:sz w:val="26"/>
      <w:szCs w:val="26"/>
    </w:rPr>
  </w:style>
  <w:style w:type="paragraph" w:styleId="Heading3">
    <w:name w:val="heading 3"/>
    <w:basedOn w:val="Normal"/>
    <w:next w:val="Normal"/>
    <w:link w:val="Heading3Char"/>
    <w:uiPriority w:val="9"/>
    <w:unhideWhenUsed/>
    <w:qFormat/>
    <w:rsid w:val="00C972BA"/>
    <w:pPr>
      <w:keepNext/>
      <w:keepLines/>
      <w:spacing w:before="40" w:after="0"/>
      <w:outlineLvl w:val="2"/>
    </w:pPr>
    <w:rPr>
      <w:rFonts w:asciiTheme="majorHAnsi" w:eastAsiaTheme="majorEastAsia" w:hAnsiTheme="majorHAnsi" w:cstheme="majorBidi"/>
      <w:color w:val="0A4922"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2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2F8B"/>
    <w:rPr>
      <w:lang w:val="fr-FR"/>
    </w:rPr>
  </w:style>
  <w:style w:type="paragraph" w:styleId="Footer">
    <w:name w:val="footer"/>
    <w:basedOn w:val="Normal"/>
    <w:link w:val="FooterChar"/>
    <w:uiPriority w:val="99"/>
    <w:unhideWhenUsed/>
    <w:rsid w:val="00852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2F8B"/>
    <w:rPr>
      <w:lang w:val="fr-FR"/>
    </w:rPr>
  </w:style>
  <w:style w:type="paragraph" w:styleId="BalloonText">
    <w:name w:val="Balloon Text"/>
    <w:basedOn w:val="Normal"/>
    <w:link w:val="BalloonTextChar"/>
    <w:uiPriority w:val="99"/>
    <w:semiHidden/>
    <w:unhideWhenUsed/>
    <w:rsid w:val="003E78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8E1"/>
    <w:rPr>
      <w:rFonts w:ascii="Segoe UI" w:hAnsi="Segoe UI" w:cs="Segoe UI"/>
      <w:sz w:val="18"/>
      <w:szCs w:val="18"/>
      <w:lang w:val="fr-FR"/>
    </w:rPr>
  </w:style>
  <w:style w:type="paragraph" w:styleId="ListParagraph">
    <w:name w:val="List Paragraph"/>
    <w:basedOn w:val="Normal"/>
    <w:uiPriority w:val="34"/>
    <w:qFormat/>
    <w:rsid w:val="00F75319"/>
    <w:pPr>
      <w:ind w:left="720"/>
      <w:contextualSpacing/>
    </w:pPr>
  </w:style>
  <w:style w:type="paragraph" w:styleId="NormalWeb">
    <w:name w:val="Normal (Web)"/>
    <w:basedOn w:val="Normal"/>
    <w:uiPriority w:val="99"/>
    <w:semiHidden/>
    <w:unhideWhenUsed/>
    <w:rsid w:val="00FF700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520868"/>
    <w:rPr>
      <w:rFonts w:asciiTheme="majorHAnsi" w:eastAsiaTheme="majorEastAsia" w:hAnsiTheme="majorHAnsi" w:cstheme="majorBidi"/>
      <w:color w:val="0F6E34" w:themeColor="accent1" w:themeShade="BF"/>
      <w:sz w:val="32"/>
      <w:szCs w:val="32"/>
      <w:lang w:val="fr-FR"/>
    </w:rPr>
  </w:style>
  <w:style w:type="character" w:customStyle="1" w:styleId="Heading2Char">
    <w:name w:val="Heading 2 Char"/>
    <w:basedOn w:val="DefaultParagraphFont"/>
    <w:link w:val="Heading2"/>
    <w:uiPriority w:val="9"/>
    <w:rsid w:val="00520868"/>
    <w:rPr>
      <w:rFonts w:asciiTheme="majorHAnsi" w:eastAsiaTheme="majorEastAsia" w:hAnsiTheme="majorHAnsi" w:cstheme="majorBidi"/>
      <w:color w:val="0F6E34" w:themeColor="accent1" w:themeShade="BF"/>
      <w:sz w:val="26"/>
      <w:szCs w:val="26"/>
      <w:lang w:val="fr-FR"/>
    </w:rPr>
  </w:style>
  <w:style w:type="character" w:styleId="Hyperlink">
    <w:name w:val="Hyperlink"/>
    <w:basedOn w:val="DefaultParagraphFont"/>
    <w:uiPriority w:val="99"/>
    <w:unhideWhenUsed/>
    <w:rsid w:val="00520868"/>
    <w:rPr>
      <w:color w:val="6B9F25" w:themeColor="hyperlink"/>
      <w:u w:val="single"/>
    </w:rPr>
  </w:style>
  <w:style w:type="table" w:styleId="TableGrid">
    <w:name w:val="Table Grid"/>
    <w:basedOn w:val="TableNormal"/>
    <w:uiPriority w:val="39"/>
    <w:rsid w:val="00520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972BA"/>
    <w:rPr>
      <w:rFonts w:asciiTheme="majorHAnsi" w:eastAsiaTheme="majorEastAsia" w:hAnsiTheme="majorHAnsi" w:cstheme="majorBidi"/>
      <w:color w:val="0A4922" w:themeColor="accent1" w:themeShade="7F"/>
      <w:sz w:val="24"/>
      <w:szCs w:val="24"/>
      <w:lang w:val="fr-FR"/>
    </w:rPr>
  </w:style>
  <w:style w:type="paragraph" w:styleId="NoSpacing">
    <w:name w:val="No Spacing"/>
    <w:link w:val="NoSpacingChar"/>
    <w:uiPriority w:val="1"/>
    <w:qFormat/>
    <w:rsid w:val="004C2568"/>
    <w:pPr>
      <w:spacing w:after="0" w:line="240" w:lineRule="auto"/>
    </w:pPr>
    <w:rPr>
      <w:rFonts w:eastAsiaTheme="minorEastAsia"/>
    </w:rPr>
  </w:style>
  <w:style w:type="character" w:customStyle="1" w:styleId="NoSpacingChar">
    <w:name w:val="No Spacing Char"/>
    <w:basedOn w:val="DefaultParagraphFont"/>
    <w:link w:val="NoSpacing"/>
    <w:uiPriority w:val="1"/>
    <w:rsid w:val="004C2568"/>
    <w:rPr>
      <w:rFonts w:eastAsiaTheme="minorEastAsia"/>
    </w:rPr>
  </w:style>
  <w:style w:type="paragraph" w:styleId="TOCHeading">
    <w:name w:val="TOC Heading"/>
    <w:basedOn w:val="Heading1"/>
    <w:next w:val="Normal"/>
    <w:uiPriority w:val="39"/>
    <w:unhideWhenUsed/>
    <w:qFormat/>
    <w:rsid w:val="00F23DAC"/>
    <w:pPr>
      <w:outlineLvl w:val="9"/>
    </w:pPr>
    <w:rPr>
      <w:lang w:val="en-US"/>
    </w:rPr>
  </w:style>
  <w:style w:type="paragraph" w:styleId="TOC1">
    <w:name w:val="toc 1"/>
    <w:basedOn w:val="Normal"/>
    <w:next w:val="Normal"/>
    <w:autoRedefine/>
    <w:uiPriority w:val="39"/>
    <w:unhideWhenUsed/>
    <w:rsid w:val="00F23DAC"/>
    <w:pPr>
      <w:spacing w:after="100"/>
    </w:pPr>
  </w:style>
  <w:style w:type="paragraph" w:styleId="TOC2">
    <w:name w:val="toc 2"/>
    <w:basedOn w:val="Normal"/>
    <w:next w:val="Normal"/>
    <w:autoRedefine/>
    <w:uiPriority w:val="39"/>
    <w:unhideWhenUsed/>
    <w:rsid w:val="00F23DAC"/>
    <w:pPr>
      <w:spacing w:after="100"/>
      <w:ind w:left="220"/>
    </w:pPr>
  </w:style>
  <w:style w:type="paragraph" w:styleId="TOC3">
    <w:name w:val="toc 3"/>
    <w:basedOn w:val="Normal"/>
    <w:next w:val="Normal"/>
    <w:autoRedefine/>
    <w:uiPriority w:val="39"/>
    <w:unhideWhenUsed/>
    <w:rsid w:val="00F23DAC"/>
    <w:pPr>
      <w:spacing w:after="100"/>
      <w:ind w:left="440"/>
    </w:pPr>
  </w:style>
  <w:style w:type="table" w:customStyle="1" w:styleId="GridTable4Accent1">
    <w:name w:val="Grid Table 4 Accent 1"/>
    <w:basedOn w:val="TableNormal"/>
    <w:uiPriority w:val="49"/>
    <w:rsid w:val="005B3082"/>
    <w:pPr>
      <w:spacing w:after="0" w:line="240" w:lineRule="auto"/>
    </w:pPr>
    <w:tblPr>
      <w:tblStyleRowBandSize w:val="1"/>
      <w:tblStyleColBandSize w:val="1"/>
      <w:tblBorders>
        <w:top w:val="single" w:sz="4" w:space="0" w:color="49E687" w:themeColor="accent1" w:themeTint="99"/>
        <w:left w:val="single" w:sz="4" w:space="0" w:color="49E687" w:themeColor="accent1" w:themeTint="99"/>
        <w:bottom w:val="single" w:sz="4" w:space="0" w:color="49E687" w:themeColor="accent1" w:themeTint="99"/>
        <w:right w:val="single" w:sz="4" w:space="0" w:color="49E687" w:themeColor="accent1" w:themeTint="99"/>
        <w:insideH w:val="single" w:sz="4" w:space="0" w:color="49E687" w:themeColor="accent1" w:themeTint="99"/>
        <w:insideV w:val="single" w:sz="4" w:space="0" w:color="49E687" w:themeColor="accent1" w:themeTint="99"/>
      </w:tblBorders>
    </w:tblPr>
    <w:tblStylePr w:type="firstRow">
      <w:rPr>
        <w:b/>
        <w:bCs/>
        <w:color w:val="FFFFFF" w:themeColor="background1"/>
      </w:rPr>
      <w:tblPr/>
      <w:tcPr>
        <w:tcBorders>
          <w:top w:val="single" w:sz="4" w:space="0" w:color="149346" w:themeColor="accent1"/>
          <w:left w:val="single" w:sz="4" w:space="0" w:color="149346" w:themeColor="accent1"/>
          <w:bottom w:val="single" w:sz="4" w:space="0" w:color="149346" w:themeColor="accent1"/>
          <w:right w:val="single" w:sz="4" w:space="0" w:color="149346" w:themeColor="accent1"/>
          <w:insideH w:val="nil"/>
          <w:insideV w:val="nil"/>
        </w:tcBorders>
        <w:shd w:val="clear" w:color="auto" w:fill="149346" w:themeFill="accent1"/>
      </w:tcPr>
    </w:tblStylePr>
    <w:tblStylePr w:type="lastRow">
      <w:rPr>
        <w:b/>
        <w:bCs/>
      </w:rPr>
      <w:tblPr/>
      <w:tcPr>
        <w:tcBorders>
          <w:top w:val="double" w:sz="4" w:space="0" w:color="149346" w:themeColor="accent1"/>
        </w:tcBorders>
      </w:tcPr>
    </w:tblStylePr>
    <w:tblStylePr w:type="firstCol">
      <w:rPr>
        <w:b/>
        <w:bCs/>
      </w:rPr>
    </w:tblStylePr>
    <w:tblStylePr w:type="lastCol">
      <w:rPr>
        <w:b/>
        <w:bCs/>
      </w:rPr>
    </w:tblStylePr>
    <w:tblStylePr w:type="band1Vert">
      <w:tblPr/>
      <w:tcPr>
        <w:shd w:val="clear" w:color="auto" w:fill="C2F6D7" w:themeFill="accent1" w:themeFillTint="33"/>
      </w:tcPr>
    </w:tblStylePr>
    <w:tblStylePr w:type="band1Horz">
      <w:tblPr/>
      <w:tcPr>
        <w:shd w:val="clear" w:color="auto" w:fill="C2F6D7" w:themeFill="accent1" w:themeFillTint="33"/>
      </w:tcPr>
    </w:tblStylePr>
  </w:style>
  <w:style w:type="table" w:customStyle="1" w:styleId="GridTable4Accent2">
    <w:name w:val="Grid Table 4 Accent 2"/>
    <w:basedOn w:val="TableNormal"/>
    <w:uiPriority w:val="49"/>
    <w:rsid w:val="005B3082"/>
    <w:pPr>
      <w:spacing w:after="0" w:line="240" w:lineRule="auto"/>
    </w:pPr>
    <w:tblPr>
      <w:tblStyleRowBandSize w:val="1"/>
      <w:tblStyleColBandSize w:val="1"/>
      <w:tblBorders>
        <w:top w:val="single" w:sz="4" w:space="0" w:color="B9D88C" w:themeColor="accent2" w:themeTint="99"/>
        <w:left w:val="single" w:sz="4" w:space="0" w:color="B9D88C" w:themeColor="accent2" w:themeTint="99"/>
        <w:bottom w:val="single" w:sz="4" w:space="0" w:color="B9D88C" w:themeColor="accent2" w:themeTint="99"/>
        <w:right w:val="single" w:sz="4" w:space="0" w:color="B9D88C" w:themeColor="accent2" w:themeTint="99"/>
        <w:insideH w:val="single" w:sz="4" w:space="0" w:color="B9D88C" w:themeColor="accent2" w:themeTint="99"/>
        <w:insideV w:val="single" w:sz="4" w:space="0" w:color="B9D88C" w:themeColor="accent2" w:themeTint="99"/>
      </w:tblBorders>
    </w:tblPr>
    <w:tblStylePr w:type="firstRow">
      <w:rPr>
        <w:b/>
        <w:bCs/>
        <w:color w:val="FFFFFF" w:themeColor="background1"/>
      </w:rPr>
      <w:tblPr/>
      <w:tcPr>
        <w:tcBorders>
          <w:top w:val="single" w:sz="4" w:space="0" w:color="8BBF41" w:themeColor="accent2"/>
          <w:left w:val="single" w:sz="4" w:space="0" w:color="8BBF41" w:themeColor="accent2"/>
          <w:bottom w:val="single" w:sz="4" w:space="0" w:color="8BBF41" w:themeColor="accent2"/>
          <w:right w:val="single" w:sz="4" w:space="0" w:color="8BBF41" w:themeColor="accent2"/>
          <w:insideH w:val="nil"/>
          <w:insideV w:val="nil"/>
        </w:tcBorders>
        <w:shd w:val="clear" w:color="auto" w:fill="8BBF41" w:themeFill="accent2"/>
      </w:tcPr>
    </w:tblStylePr>
    <w:tblStylePr w:type="lastRow">
      <w:rPr>
        <w:b/>
        <w:bCs/>
      </w:rPr>
      <w:tblPr/>
      <w:tcPr>
        <w:tcBorders>
          <w:top w:val="double" w:sz="4" w:space="0" w:color="8BBF41" w:themeColor="accent2"/>
        </w:tcBorders>
      </w:tcPr>
    </w:tblStylePr>
    <w:tblStylePr w:type="firstCol">
      <w:rPr>
        <w:b/>
        <w:bCs/>
      </w:rPr>
    </w:tblStylePr>
    <w:tblStylePr w:type="lastCol">
      <w:rPr>
        <w:b/>
        <w:bCs/>
      </w:rPr>
    </w:tblStylePr>
    <w:tblStylePr w:type="band1Vert">
      <w:tblPr/>
      <w:tcPr>
        <w:shd w:val="clear" w:color="auto" w:fill="E7F2D8" w:themeFill="accent2" w:themeFillTint="33"/>
      </w:tcPr>
    </w:tblStylePr>
    <w:tblStylePr w:type="band1Horz">
      <w:tblPr/>
      <w:tcPr>
        <w:shd w:val="clear" w:color="auto" w:fill="E7F2D8" w:themeFill="accent2" w:themeFillTint="33"/>
      </w:tcPr>
    </w:tblStylePr>
  </w:style>
  <w:style w:type="table" w:customStyle="1" w:styleId="ListTable3Accent1">
    <w:name w:val="List Table 3 Accent 1"/>
    <w:basedOn w:val="TableNormal"/>
    <w:uiPriority w:val="48"/>
    <w:rsid w:val="005B3082"/>
    <w:pPr>
      <w:spacing w:after="0" w:line="240" w:lineRule="auto"/>
    </w:pPr>
    <w:tblPr>
      <w:tblStyleRowBandSize w:val="1"/>
      <w:tblStyleColBandSize w:val="1"/>
      <w:tblBorders>
        <w:top w:val="single" w:sz="4" w:space="0" w:color="149346" w:themeColor="accent1"/>
        <w:left w:val="single" w:sz="4" w:space="0" w:color="149346" w:themeColor="accent1"/>
        <w:bottom w:val="single" w:sz="4" w:space="0" w:color="149346" w:themeColor="accent1"/>
        <w:right w:val="single" w:sz="4" w:space="0" w:color="149346" w:themeColor="accent1"/>
      </w:tblBorders>
    </w:tblPr>
    <w:tblStylePr w:type="firstRow">
      <w:rPr>
        <w:b/>
        <w:bCs/>
        <w:color w:val="FFFFFF" w:themeColor="background1"/>
      </w:rPr>
      <w:tblPr/>
      <w:tcPr>
        <w:shd w:val="clear" w:color="auto" w:fill="149346" w:themeFill="accent1"/>
      </w:tcPr>
    </w:tblStylePr>
    <w:tblStylePr w:type="lastRow">
      <w:rPr>
        <w:b/>
        <w:bCs/>
      </w:rPr>
      <w:tblPr/>
      <w:tcPr>
        <w:tcBorders>
          <w:top w:val="double" w:sz="4" w:space="0" w:color="14934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9346" w:themeColor="accent1"/>
          <w:right w:val="single" w:sz="4" w:space="0" w:color="149346" w:themeColor="accent1"/>
        </w:tcBorders>
      </w:tcPr>
    </w:tblStylePr>
    <w:tblStylePr w:type="band1Horz">
      <w:tblPr/>
      <w:tcPr>
        <w:tcBorders>
          <w:top w:val="single" w:sz="4" w:space="0" w:color="149346" w:themeColor="accent1"/>
          <w:bottom w:val="single" w:sz="4" w:space="0" w:color="14934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9346" w:themeColor="accent1"/>
          <w:left w:val="nil"/>
        </w:tcBorders>
      </w:tcPr>
    </w:tblStylePr>
    <w:tblStylePr w:type="swCell">
      <w:tblPr/>
      <w:tcPr>
        <w:tcBorders>
          <w:top w:val="double" w:sz="4" w:space="0" w:color="149346" w:themeColor="accent1"/>
          <w:right w:val="nil"/>
        </w:tcBorders>
      </w:tcPr>
    </w:tblStylePr>
  </w:style>
  <w:style w:type="table" w:customStyle="1" w:styleId="GridTable6ColorfulAccent6">
    <w:name w:val="Grid Table 6 Colorful Accent 6"/>
    <w:basedOn w:val="TableNormal"/>
    <w:uiPriority w:val="51"/>
    <w:rsid w:val="002430B8"/>
    <w:pPr>
      <w:spacing w:after="0" w:line="240" w:lineRule="auto"/>
    </w:pPr>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GridTable6ColorfulAccent2">
    <w:name w:val="Grid Table 6 Colorful Accent 2"/>
    <w:basedOn w:val="TableNormal"/>
    <w:uiPriority w:val="51"/>
    <w:rsid w:val="002430B8"/>
    <w:pPr>
      <w:spacing w:after="0" w:line="240" w:lineRule="auto"/>
    </w:pPr>
    <w:rPr>
      <w:color w:val="678F30" w:themeColor="accent2" w:themeShade="BF"/>
    </w:rPr>
    <w:tblPr>
      <w:tblStyleRowBandSize w:val="1"/>
      <w:tblStyleColBandSize w:val="1"/>
      <w:tblBorders>
        <w:top w:val="single" w:sz="4" w:space="0" w:color="B9D88C" w:themeColor="accent2" w:themeTint="99"/>
        <w:left w:val="single" w:sz="4" w:space="0" w:color="B9D88C" w:themeColor="accent2" w:themeTint="99"/>
        <w:bottom w:val="single" w:sz="4" w:space="0" w:color="B9D88C" w:themeColor="accent2" w:themeTint="99"/>
        <w:right w:val="single" w:sz="4" w:space="0" w:color="B9D88C" w:themeColor="accent2" w:themeTint="99"/>
        <w:insideH w:val="single" w:sz="4" w:space="0" w:color="B9D88C" w:themeColor="accent2" w:themeTint="99"/>
        <w:insideV w:val="single" w:sz="4" w:space="0" w:color="B9D88C" w:themeColor="accent2" w:themeTint="99"/>
      </w:tblBorders>
    </w:tblPr>
    <w:tblStylePr w:type="firstRow">
      <w:rPr>
        <w:b/>
        <w:bCs/>
      </w:rPr>
      <w:tblPr/>
      <w:tcPr>
        <w:tcBorders>
          <w:bottom w:val="single" w:sz="12" w:space="0" w:color="B9D88C" w:themeColor="accent2" w:themeTint="99"/>
        </w:tcBorders>
      </w:tcPr>
    </w:tblStylePr>
    <w:tblStylePr w:type="lastRow">
      <w:rPr>
        <w:b/>
        <w:bCs/>
      </w:rPr>
      <w:tblPr/>
      <w:tcPr>
        <w:tcBorders>
          <w:top w:val="double" w:sz="4" w:space="0" w:color="B9D88C" w:themeColor="accent2" w:themeTint="99"/>
        </w:tcBorders>
      </w:tcPr>
    </w:tblStylePr>
    <w:tblStylePr w:type="firstCol">
      <w:rPr>
        <w:b/>
        <w:bCs/>
      </w:rPr>
    </w:tblStylePr>
    <w:tblStylePr w:type="lastCol">
      <w:rPr>
        <w:b/>
        <w:bCs/>
      </w:rPr>
    </w:tblStylePr>
    <w:tblStylePr w:type="band1Vert">
      <w:tblPr/>
      <w:tcPr>
        <w:shd w:val="clear" w:color="auto" w:fill="E7F2D8" w:themeFill="accent2" w:themeFillTint="33"/>
      </w:tcPr>
    </w:tblStylePr>
    <w:tblStylePr w:type="band1Horz">
      <w:tblPr/>
      <w:tcPr>
        <w:shd w:val="clear" w:color="auto" w:fill="E7F2D8" w:themeFill="accent2" w:themeFillTint="33"/>
      </w:tcPr>
    </w:tblStylePr>
  </w:style>
  <w:style w:type="table" w:customStyle="1" w:styleId="GridTable6ColorfulAccent1">
    <w:name w:val="Grid Table 6 Colorful Accent 1"/>
    <w:basedOn w:val="TableNormal"/>
    <w:uiPriority w:val="51"/>
    <w:rsid w:val="002430B8"/>
    <w:pPr>
      <w:spacing w:after="0" w:line="240" w:lineRule="auto"/>
    </w:pPr>
    <w:rPr>
      <w:color w:val="0F6E34" w:themeColor="accent1" w:themeShade="BF"/>
    </w:rPr>
    <w:tblPr>
      <w:tblStyleRowBandSize w:val="1"/>
      <w:tblStyleColBandSize w:val="1"/>
      <w:tblBorders>
        <w:top w:val="single" w:sz="4" w:space="0" w:color="49E687" w:themeColor="accent1" w:themeTint="99"/>
        <w:left w:val="single" w:sz="4" w:space="0" w:color="49E687" w:themeColor="accent1" w:themeTint="99"/>
        <w:bottom w:val="single" w:sz="4" w:space="0" w:color="49E687" w:themeColor="accent1" w:themeTint="99"/>
        <w:right w:val="single" w:sz="4" w:space="0" w:color="49E687" w:themeColor="accent1" w:themeTint="99"/>
        <w:insideH w:val="single" w:sz="4" w:space="0" w:color="49E687" w:themeColor="accent1" w:themeTint="99"/>
        <w:insideV w:val="single" w:sz="4" w:space="0" w:color="49E687" w:themeColor="accent1" w:themeTint="99"/>
      </w:tblBorders>
    </w:tblPr>
    <w:tblStylePr w:type="firstRow">
      <w:rPr>
        <w:b/>
        <w:bCs/>
      </w:rPr>
      <w:tblPr/>
      <w:tcPr>
        <w:tcBorders>
          <w:bottom w:val="single" w:sz="12" w:space="0" w:color="49E687" w:themeColor="accent1" w:themeTint="99"/>
        </w:tcBorders>
      </w:tcPr>
    </w:tblStylePr>
    <w:tblStylePr w:type="lastRow">
      <w:rPr>
        <w:b/>
        <w:bCs/>
      </w:rPr>
      <w:tblPr/>
      <w:tcPr>
        <w:tcBorders>
          <w:top w:val="double" w:sz="4" w:space="0" w:color="49E687" w:themeColor="accent1" w:themeTint="99"/>
        </w:tcBorders>
      </w:tcPr>
    </w:tblStylePr>
    <w:tblStylePr w:type="firstCol">
      <w:rPr>
        <w:b/>
        <w:bCs/>
      </w:rPr>
    </w:tblStylePr>
    <w:tblStylePr w:type="lastCol">
      <w:rPr>
        <w:b/>
        <w:bCs/>
      </w:rPr>
    </w:tblStylePr>
    <w:tblStylePr w:type="band1Vert">
      <w:tblPr/>
      <w:tcPr>
        <w:shd w:val="clear" w:color="auto" w:fill="C2F6D7" w:themeFill="accent1" w:themeFillTint="33"/>
      </w:tcPr>
    </w:tblStylePr>
    <w:tblStylePr w:type="band1Horz">
      <w:tblPr/>
      <w:tcPr>
        <w:shd w:val="clear" w:color="auto" w:fill="C2F6D7" w:themeFill="accent1" w:themeFillTint="33"/>
      </w:tcPr>
    </w:tblStylePr>
  </w:style>
  <w:style w:type="table" w:customStyle="1" w:styleId="ListTable1LightAccent3">
    <w:name w:val="List Table 1 Light Accent 3"/>
    <w:basedOn w:val="TableNormal"/>
    <w:uiPriority w:val="46"/>
    <w:rsid w:val="002430B8"/>
    <w:pPr>
      <w:spacing w:after="0" w:line="240" w:lineRule="auto"/>
    </w:pPr>
    <w:tblPr>
      <w:tblStyleRowBandSize w:val="1"/>
      <w:tblStyleColBandSize w:val="1"/>
    </w:tblPr>
    <w:tblStylePr w:type="firstRow">
      <w:rPr>
        <w:b/>
        <w:bCs/>
      </w:rPr>
      <w:tblPr/>
      <w:tcPr>
        <w:tcBorders>
          <w:bottom w:val="single" w:sz="4" w:space="0" w:color="FBD084" w:themeColor="accent3" w:themeTint="99"/>
        </w:tcBorders>
      </w:tcPr>
    </w:tblStylePr>
    <w:tblStylePr w:type="lastRow">
      <w:rPr>
        <w:b/>
        <w:bCs/>
      </w:rPr>
      <w:tblPr/>
      <w:tcPr>
        <w:tcBorders>
          <w:top w:val="single" w:sz="4" w:space="0" w:color="FBD084" w:themeColor="accent3" w:themeTint="99"/>
        </w:tcBorders>
      </w:tcPr>
    </w:tblStylePr>
    <w:tblStylePr w:type="firstCol">
      <w:rPr>
        <w:b/>
        <w:bCs/>
      </w:rPr>
    </w:tblStylePr>
    <w:tblStylePr w:type="lastCol">
      <w:rPr>
        <w:b/>
        <w:bCs/>
      </w:rPr>
    </w:tblStylePr>
    <w:tblStylePr w:type="band1Vert">
      <w:tblPr/>
      <w:tcPr>
        <w:shd w:val="clear" w:color="auto" w:fill="FDEFD6" w:themeFill="accent3" w:themeFillTint="33"/>
      </w:tcPr>
    </w:tblStylePr>
    <w:tblStylePr w:type="band1Horz">
      <w:tblPr/>
      <w:tcPr>
        <w:shd w:val="clear" w:color="auto" w:fill="FDEFD6" w:themeFill="accent3" w:themeFillTint="33"/>
      </w:tcPr>
    </w:tblStylePr>
  </w:style>
  <w:style w:type="table" w:customStyle="1" w:styleId="ListTable2">
    <w:name w:val="List Table 2"/>
    <w:basedOn w:val="TableNormal"/>
    <w:uiPriority w:val="47"/>
    <w:rsid w:val="002430B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E0F"/>
    <w:rPr>
      <w:lang w:val="fr-FR"/>
    </w:rPr>
  </w:style>
  <w:style w:type="paragraph" w:styleId="Heading1">
    <w:name w:val="heading 1"/>
    <w:basedOn w:val="Normal"/>
    <w:next w:val="Normal"/>
    <w:link w:val="Heading1Char"/>
    <w:uiPriority w:val="9"/>
    <w:qFormat/>
    <w:rsid w:val="00520868"/>
    <w:pPr>
      <w:keepNext/>
      <w:keepLines/>
      <w:spacing w:before="240" w:after="0"/>
      <w:outlineLvl w:val="0"/>
    </w:pPr>
    <w:rPr>
      <w:rFonts w:asciiTheme="majorHAnsi" w:eastAsiaTheme="majorEastAsia" w:hAnsiTheme="majorHAnsi" w:cstheme="majorBidi"/>
      <w:color w:val="0F6E34" w:themeColor="accent1" w:themeShade="BF"/>
      <w:sz w:val="32"/>
      <w:szCs w:val="32"/>
    </w:rPr>
  </w:style>
  <w:style w:type="paragraph" w:styleId="Heading2">
    <w:name w:val="heading 2"/>
    <w:basedOn w:val="Normal"/>
    <w:next w:val="Normal"/>
    <w:link w:val="Heading2Char"/>
    <w:uiPriority w:val="9"/>
    <w:unhideWhenUsed/>
    <w:qFormat/>
    <w:rsid w:val="00520868"/>
    <w:pPr>
      <w:keepNext/>
      <w:keepLines/>
      <w:spacing w:before="40" w:after="0"/>
      <w:outlineLvl w:val="1"/>
    </w:pPr>
    <w:rPr>
      <w:rFonts w:asciiTheme="majorHAnsi" w:eastAsiaTheme="majorEastAsia" w:hAnsiTheme="majorHAnsi" w:cstheme="majorBidi"/>
      <w:color w:val="0F6E34" w:themeColor="accent1" w:themeShade="BF"/>
      <w:sz w:val="26"/>
      <w:szCs w:val="26"/>
    </w:rPr>
  </w:style>
  <w:style w:type="paragraph" w:styleId="Heading3">
    <w:name w:val="heading 3"/>
    <w:basedOn w:val="Normal"/>
    <w:next w:val="Normal"/>
    <w:link w:val="Heading3Char"/>
    <w:uiPriority w:val="9"/>
    <w:unhideWhenUsed/>
    <w:qFormat/>
    <w:rsid w:val="00C972BA"/>
    <w:pPr>
      <w:keepNext/>
      <w:keepLines/>
      <w:spacing w:before="40" w:after="0"/>
      <w:outlineLvl w:val="2"/>
    </w:pPr>
    <w:rPr>
      <w:rFonts w:asciiTheme="majorHAnsi" w:eastAsiaTheme="majorEastAsia" w:hAnsiTheme="majorHAnsi" w:cstheme="majorBidi"/>
      <w:color w:val="0A4922"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2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2F8B"/>
    <w:rPr>
      <w:lang w:val="fr-FR"/>
    </w:rPr>
  </w:style>
  <w:style w:type="paragraph" w:styleId="Footer">
    <w:name w:val="footer"/>
    <w:basedOn w:val="Normal"/>
    <w:link w:val="FooterChar"/>
    <w:uiPriority w:val="99"/>
    <w:unhideWhenUsed/>
    <w:rsid w:val="00852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2F8B"/>
    <w:rPr>
      <w:lang w:val="fr-FR"/>
    </w:rPr>
  </w:style>
  <w:style w:type="paragraph" w:styleId="BalloonText">
    <w:name w:val="Balloon Text"/>
    <w:basedOn w:val="Normal"/>
    <w:link w:val="BalloonTextChar"/>
    <w:uiPriority w:val="99"/>
    <w:semiHidden/>
    <w:unhideWhenUsed/>
    <w:rsid w:val="003E78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8E1"/>
    <w:rPr>
      <w:rFonts w:ascii="Segoe UI" w:hAnsi="Segoe UI" w:cs="Segoe UI"/>
      <w:sz w:val="18"/>
      <w:szCs w:val="18"/>
      <w:lang w:val="fr-FR"/>
    </w:rPr>
  </w:style>
  <w:style w:type="paragraph" w:styleId="ListParagraph">
    <w:name w:val="List Paragraph"/>
    <w:basedOn w:val="Normal"/>
    <w:uiPriority w:val="34"/>
    <w:qFormat/>
    <w:rsid w:val="00F75319"/>
    <w:pPr>
      <w:ind w:left="720"/>
      <w:contextualSpacing/>
    </w:pPr>
  </w:style>
  <w:style w:type="paragraph" w:styleId="NormalWeb">
    <w:name w:val="Normal (Web)"/>
    <w:basedOn w:val="Normal"/>
    <w:uiPriority w:val="99"/>
    <w:semiHidden/>
    <w:unhideWhenUsed/>
    <w:rsid w:val="00FF700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520868"/>
    <w:rPr>
      <w:rFonts w:asciiTheme="majorHAnsi" w:eastAsiaTheme="majorEastAsia" w:hAnsiTheme="majorHAnsi" w:cstheme="majorBidi"/>
      <w:color w:val="0F6E34" w:themeColor="accent1" w:themeShade="BF"/>
      <w:sz w:val="32"/>
      <w:szCs w:val="32"/>
      <w:lang w:val="fr-FR"/>
    </w:rPr>
  </w:style>
  <w:style w:type="character" w:customStyle="1" w:styleId="Heading2Char">
    <w:name w:val="Heading 2 Char"/>
    <w:basedOn w:val="DefaultParagraphFont"/>
    <w:link w:val="Heading2"/>
    <w:uiPriority w:val="9"/>
    <w:rsid w:val="00520868"/>
    <w:rPr>
      <w:rFonts w:asciiTheme="majorHAnsi" w:eastAsiaTheme="majorEastAsia" w:hAnsiTheme="majorHAnsi" w:cstheme="majorBidi"/>
      <w:color w:val="0F6E34" w:themeColor="accent1" w:themeShade="BF"/>
      <w:sz w:val="26"/>
      <w:szCs w:val="26"/>
      <w:lang w:val="fr-FR"/>
    </w:rPr>
  </w:style>
  <w:style w:type="character" w:styleId="Hyperlink">
    <w:name w:val="Hyperlink"/>
    <w:basedOn w:val="DefaultParagraphFont"/>
    <w:uiPriority w:val="99"/>
    <w:unhideWhenUsed/>
    <w:rsid w:val="00520868"/>
    <w:rPr>
      <w:color w:val="6B9F25" w:themeColor="hyperlink"/>
      <w:u w:val="single"/>
    </w:rPr>
  </w:style>
  <w:style w:type="table" w:styleId="TableGrid">
    <w:name w:val="Table Grid"/>
    <w:basedOn w:val="TableNormal"/>
    <w:uiPriority w:val="39"/>
    <w:rsid w:val="00520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972BA"/>
    <w:rPr>
      <w:rFonts w:asciiTheme="majorHAnsi" w:eastAsiaTheme="majorEastAsia" w:hAnsiTheme="majorHAnsi" w:cstheme="majorBidi"/>
      <w:color w:val="0A4922" w:themeColor="accent1" w:themeShade="7F"/>
      <w:sz w:val="24"/>
      <w:szCs w:val="24"/>
      <w:lang w:val="fr-FR"/>
    </w:rPr>
  </w:style>
  <w:style w:type="paragraph" w:styleId="NoSpacing">
    <w:name w:val="No Spacing"/>
    <w:link w:val="NoSpacingChar"/>
    <w:uiPriority w:val="1"/>
    <w:qFormat/>
    <w:rsid w:val="004C2568"/>
    <w:pPr>
      <w:spacing w:after="0" w:line="240" w:lineRule="auto"/>
    </w:pPr>
    <w:rPr>
      <w:rFonts w:eastAsiaTheme="minorEastAsia"/>
    </w:rPr>
  </w:style>
  <w:style w:type="character" w:customStyle="1" w:styleId="NoSpacingChar">
    <w:name w:val="No Spacing Char"/>
    <w:basedOn w:val="DefaultParagraphFont"/>
    <w:link w:val="NoSpacing"/>
    <w:uiPriority w:val="1"/>
    <w:rsid w:val="004C2568"/>
    <w:rPr>
      <w:rFonts w:eastAsiaTheme="minorEastAsia"/>
    </w:rPr>
  </w:style>
  <w:style w:type="paragraph" w:styleId="TOCHeading">
    <w:name w:val="TOC Heading"/>
    <w:basedOn w:val="Heading1"/>
    <w:next w:val="Normal"/>
    <w:uiPriority w:val="39"/>
    <w:unhideWhenUsed/>
    <w:qFormat/>
    <w:rsid w:val="00F23DAC"/>
    <w:pPr>
      <w:outlineLvl w:val="9"/>
    </w:pPr>
    <w:rPr>
      <w:lang w:val="en-US"/>
    </w:rPr>
  </w:style>
  <w:style w:type="paragraph" w:styleId="TOC1">
    <w:name w:val="toc 1"/>
    <w:basedOn w:val="Normal"/>
    <w:next w:val="Normal"/>
    <w:autoRedefine/>
    <w:uiPriority w:val="39"/>
    <w:unhideWhenUsed/>
    <w:rsid w:val="00F23DAC"/>
    <w:pPr>
      <w:spacing w:after="100"/>
    </w:pPr>
  </w:style>
  <w:style w:type="paragraph" w:styleId="TOC2">
    <w:name w:val="toc 2"/>
    <w:basedOn w:val="Normal"/>
    <w:next w:val="Normal"/>
    <w:autoRedefine/>
    <w:uiPriority w:val="39"/>
    <w:unhideWhenUsed/>
    <w:rsid w:val="00F23DAC"/>
    <w:pPr>
      <w:spacing w:after="100"/>
      <w:ind w:left="220"/>
    </w:pPr>
  </w:style>
  <w:style w:type="paragraph" w:styleId="TOC3">
    <w:name w:val="toc 3"/>
    <w:basedOn w:val="Normal"/>
    <w:next w:val="Normal"/>
    <w:autoRedefine/>
    <w:uiPriority w:val="39"/>
    <w:unhideWhenUsed/>
    <w:rsid w:val="00F23DAC"/>
    <w:pPr>
      <w:spacing w:after="100"/>
      <w:ind w:left="440"/>
    </w:pPr>
  </w:style>
  <w:style w:type="table" w:customStyle="1" w:styleId="GridTable4Accent1">
    <w:name w:val="Grid Table 4 Accent 1"/>
    <w:basedOn w:val="TableNormal"/>
    <w:uiPriority w:val="49"/>
    <w:rsid w:val="005B3082"/>
    <w:pPr>
      <w:spacing w:after="0" w:line="240" w:lineRule="auto"/>
    </w:pPr>
    <w:tblPr>
      <w:tblStyleRowBandSize w:val="1"/>
      <w:tblStyleColBandSize w:val="1"/>
      <w:tblBorders>
        <w:top w:val="single" w:sz="4" w:space="0" w:color="49E687" w:themeColor="accent1" w:themeTint="99"/>
        <w:left w:val="single" w:sz="4" w:space="0" w:color="49E687" w:themeColor="accent1" w:themeTint="99"/>
        <w:bottom w:val="single" w:sz="4" w:space="0" w:color="49E687" w:themeColor="accent1" w:themeTint="99"/>
        <w:right w:val="single" w:sz="4" w:space="0" w:color="49E687" w:themeColor="accent1" w:themeTint="99"/>
        <w:insideH w:val="single" w:sz="4" w:space="0" w:color="49E687" w:themeColor="accent1" w:themeTint="99"/>
        <w:insideV w:val="single" w:sz="4" w:space="0" w:color="49E687" w:themeColor="accent1" w:themeTint="99"/>
      </w:tblBorders>
    </w:tblPr>
    <w:tblStylePr w:type="firstRow">
      <w:rPr>
        <w:b/>
        <w:bCs/>
        <w:color w:val="FFFFFF" w:themeColor="background1"/>
      </w:rPr>
      <w:tblPr/>
      <w:tcPr>
        <w:tcBorders>
          <w:top w:val="single" w:sz="4" w:space="0" w:color="149346" w:themeColor="accent1"/>
          <w:left w:val="single" w:sz="4" w:space="0" w:color="149346" w:themeColor="accent1"/>
          <w:bottom w:val="single" w:sz="4" w:space="0" w:color="149346" w:themeColor="accent1"/>
          <w:right w:val="single" w:sz="4" w:space="0" w:color="149346" w:themeColor="accent1"/>
          <w:insideH w:val="nil"/>
          <w:insideV w:val="nil"/>
        </w:tcBorders>
        <w:shd w:val="clear" w:color="auto" w:fill="149346" w:themeFill="accent1"/>
      </w:tcPr>
    </w:tblStylePr>
    <w:tblStylePr w:type="lastRow">
      <w:rPr>
        <w:b/>
        <w:bCs/>
      </w:rPr>
      <w:tblPr/>
      <w:tcPr>
        <w:tcBorders>
          <w:top w:val="double" w:sz="4" w:space="0" w:color="149346" w:themeColor="accent1"/>
        </w:tcBorders>
      </w:tcPr>
    </w:tblStylePr>
    <w:tblStylePr w:type="firstCol">
      <w:rPr>
        <w:b/>
        <w:bCs/>
      </w:rPr>
    </w:tblStylePr>
    <w:tblStylePr w:type="lastCol">
      <w:rPr>
        <w:b/>
        <w:bCs/>
      </w:rPr>
    </w:tblStylePr>
    <w:tblStylePr w:type="band1Vert">
      <w:tblPr/>
      <w:tcPr>
        <w:shd w:val="clear" w:color="auto" w:fill="C2F6D7" w:themeFill="accent1" w:themeFillTint="33"/>
      </w:tcPr>
    </w:tblStylePr>
    <w:tblStylePr w:type="band1Horz">
      <w:tblPr/>
      <w:tcPr>
        <w:shd w:val="clear" w:color="auto" w:fill="C2F6D7" w:themeFill="accent1" w:themeFillTint="33"/>
      </w:tcPr>
    </w:tblStylePr>
  </w:style>
  <w:style w:type="table" w:customStyle="1" w:styleId="GridTable4Accent2">
    <w:name w:val="Grid Table 4 Accent 2"/>
    <w:basedOn w:val="TableNormal"/>
    <w:uiPriority w:val="49"/>
    <w:rsid w:val="005B3082"/>
    <w:pPr>
      <w:spacing w:after="0" w:line="240" w:lineRule="auto"/>
    </w:pPr>
    <w:tblPr>
      <w:tblStyleRowBandSize w:val="1"/>
      <w:tblStyleColBandSize w:val="1"/>
      <w:tblBorders>
        <w:top w:val="single" w:sz="4" w:space="0" w:color="B9D88C" w:themeColor="accent2" w:themeTint="99"/>
        <w:left w:val="single" w:sz="4" w:space="0" w:color="B9D88C" w:themeColor="accent2" w:themeTint="99"/>
        <w:bottom w:val="single" w:sz="4" w:space="0" w:color="B9D88C" w:themeColor="accent2" w:themeTint="99"/>
        <w:right w:val="single" w:sz="4" w:space="0" w:color="B9D88C" w:themeColor="accent2" w:themeTint="99"/>
        <w:insideH w:val="single" w:sz="4" w:space="0" w:color="B9D88C" w:themeColor="accent2" w:themeTint="99"/>
        <w:insideV w:val="single" w:sz="4" w:space="0" w:color="B9D88C" w:themeColor="accent2" w:themeTint="99"/>
      </w:tblBorders>
    </w:tblPr>
    <w:tblStylePr w:type="firstRow">
      <w:rPr>
        <w:b/>
        <w:bCs/>
        <w:color w:val="FFFFFF" w:themeColor="background1"/>
      </w:rPr>
      <w:tblPr/>
      <w:tcPr>
        <w:tcBorders>
          <w:top w:val="single" w:sz="4" w:space="0" w:color="8BBF41" w:themeColor="accent2"/>
          <w:left w:val="single" w:sz="4" w:space="0" w:color="8BBF41" w:themeColor="accent2"/>
          <w:bottom w:val="single" w:sz="4" w:space="0" w:color="8BBF41" w:themeColor="accent2"/>
          <w:right w:val="single" w:sz="4" w:space="0" w:color="8BBF41" w:themeColor="accent2"/>
          <w:insideH w:val="nil"/>
          <w:insideV w:val="nil"/>
        </w:tcBorders>
        <w:shd w:val="clear" w:color="auto" w:fill="8BBF41" w:themeFill="accent2"/>
      </w:tcPr>
    </w:tblStylePr>
    <w:tblStylePr w:type="lastRow">
      <w:rPr>
        <w:b/>
        <w:bCs/>
      </w:rPr>
      <w:tblPr/>
      <w:tcPr>
        <w:tcBorders>
          <w:top w:val="double" w:sz="4" w:space="0" w:color="8BBF41" w:themeColor="accent2"/>
        </w:tcBorders>
      </w:tcPr>
    </w:tblStylePr>
    <w:tblStylePr w:type="firstCol">
      <w:rPr>
        <w:b/>
        <w:bCs/>
      </w:rPr>
    </w:tblStylePr>
    <w:tblStylePr w:type="lastCol">
      <w:rPr>
        <w:b/>
        <w:bCs/>
      </w:rPr>
    </w:tblStylePr>
    <w:tblStylePr w:type="band1Vert">
      <w:tblPr/>
      <w:tcPr>
        <w:shd w:val="clear" w:color="auto" w:fill="E7F2D8" w:themeFill="accent2" w:themeFillTint="33"/>
      </w:tcPr>
    </w:tblStylePr>
    <w:tblStylePr w:type="band1Horz">
      <w:tblPr/>
      <w:tcPr>
        <w:shd w:val="clear" w:color="auto" w:fill="E7F2D8" w:themeFill="accent2" w:themeFillTint="33"/>
      </w:tcPr>
    </w:tblStylePr>
  </w:style>
  <w:style w:type="table" w:customStyle="1" w:styleId="ListTable3Accent1">
    <w:name w:val="List Table 3 Accent 1"/>
    <w:basedOn w:val="TableNormal"/>
    <w:uiPriority w:val="48"/>
    <w:rsid w:val="005B3082"/>
    <w:pPr>
      <w:spacing w:after="0" w:line="240" w:lineRule="auto"/>
    </w:pPr>
    <w:tblPr>
      <w:tblStyleRowBandSize w:val="1"/>
      <w:tblStyleColBandSize w:val="1"/>
      <w:tblBorders>
        <w:top w:val="single" w:sz="4" w:space="0" w:color="149346" w:themeColor="accent1"/>
        <w:left w:val="single" w:sz="4" w:space="0" w:color="149346" w:themeColor="accent1"/>
        <w:bottom w:val="single" w:sz="4" w:space="0" w:color="149346" w:themeColor="accent1"/>
        <w:right w:val="single" w:sz="4" w:space="0" w:color="149346" w:themeColor="accent1"/>
      </w:tblBorders>
    </w:tblPr>
    <w:tblStylePr w:type="firstRow">
      <w:rPr>
        <w:b/>
        <w:bCs/>
        <w:color w:val="FFFFFF" w:themeColor="background1"/>
      </w:rPr>
      <w:tblPr/>
      <w:tcPr>
        <w:shd w:val="clear" w:color="auto" w:fill="149346" w:themeFill="accent1"/>
      </w:tcPr>
    </w:tblStylePr>
    <w:tblStylePr w:type="lastRow">
      <w:rPr>
        <w:b/>
        <w:bCs/>
      </w:rPr>
      <w:tblPr/>
      <w:tcPr>
        <w:tcBorders>
          <w:top w:val="double" w:sz="4" w:space="0" w:color="14934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9346" w:themeColor="accent1"/>
          <w:right w:val="single" w:sz="4" w:space="0" w:color="149346" w:themeColor="accent1"/>
        </w:tcBorders>
      </w:tcPr>
    </w:tblStylePr>
    <w:tblStylePr w:type="band1Horz">
      <w:tblPr/>
      <w:tcPr>
        <w:tcBorders>
          <w:top w:val="single" w:sz="4" w:space="0" w:color="149346" w:themeColor="accent1"/>
          <w:bottom w:val="single" w:sz="4" w:space="0" w:color="14934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9346" w:themeColor="accent1"/>
          <w:left w:val="nil"/>
        </w:tcBorders>
      </w:tcPr>
    </w:tblStylePr>
    <w:tblStylePr w:type="swCell">
      <w:tblPr/>
      <w:tcPr>
        <w:tcBorders>
          <w:top w:val="double" w:sz="4" w:space="0" w:color="149346" w:themeColor="accent1"/>
          <w:right w:val="nil"/>
        </w:tcBorders>
      </w:tcPr>
    </w:tblStylePr>
  </w:style>
  <w:style w:type="table" w:customStyle="1" w:styleId="GridTable6ColorfulAccent6">
    <w:name w:val="Grid Table 6 Colorful Accent 6"/>
    <w:basedOn w:val="TableNormal"/>
    <w:uiPriority w:val="51"/>
    <w:rsid w:val="002430B8"/>
    <w:pPr>
      <w:spacing w:after="0" w:line="240" w:lineRule="auto"/>
    </w:pPr>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GridTable6ColorfulAccent2">
    <w:name w:val="Grid Table 6 Colorful Accent 2"/>
    <w:basedOn w:val="TableNormal"/>
    <w:uiPriority w:val="51"/>
    <w:rsid w:val="002430B8"/>
    <w:pPr>
      <w:spacing w:after="0" w:line="240" w:lineRule="auto"/>
    </w:pPr>
    <w:rPr>
      <w:color w:val="678F30" w:themeColor="accent2" w:themeShade="BF"/>
    </w:rPr>
    <w:tblPr>
      <w:tblStyleRowBandSize w:val="1"/>
      <w:tblStyleColBandSize w:val="1"/>
      <w:tblBorders>
        <w:top w:val="single" w:sz="4" w:space="0" w:color="B9D88C" w:themeColor="accent2" w:themeTint="99"/>
        <w:left w:val="single" w:sz="4" w:space="0" w:color="B9D88C" w:themeColor="accent2" w:themeTint="99"/>
        <w:bottom w:val="single" w:sz="4" w:space="0" w:color="B9D88C" w:themeColor="accent2" w:themeTint="99"/>
        <w:right w:val="single" w:sz="4" w:space="0" w:color="B9D88C" w:themeColor="accent2" w:themeTint="99"/>
        <w:insideH w:val="single" w:sz="4" w:space="0" w:color="B9D88C" w:themeColor="accent2" w:themeTint="99"/>
        <w:insideV w:val="single" w:sz="4" w:space="0" w:color="B9D88C" w:themeColor="accent2" w:themeTint="99"/>
      </w:tblBorders>
    </w:tblPr>
    <w:tblStylePr w:type="firstRow">
      <w:rPr>
        <w:b/>
        <w:bCs/>
      </w:rPr>
      <w:tblPr/>
      <w:tcPr>
        <w:tcBorders>
          <w:bottom w:val="single" w:sz="12" w:space="0" w:color="B9D88C" w:themeColor="accent2" w:themeTint="99"/>
        </w:tcBorders>
      </w:tcPr>
    </w:tblStylePr>
    <w:tblStylePr w:type="lastRow">
      <w:rPr>
        <w:b/>
        <w:bCs/>
      </w:rPr>
      <w:tblPr/>
      <w:tcPr>
        <w:tcBorders>
          <w:top w:val="double" w:sz="4" w:space="0" w:color="B9D88C" w:themeColor="accent2" w:themeTint="99"/>
        </w:tcBorders>
      </w:tcPr>
    </w:tblStylePr>
    <w:tblStylePr w:type="firstCol">
      <w:rPr>
        <w:b/>
        <w:bCs/>
      </w:rPr>
    </w:tblStylePr>
    <w:tblStylePr w:type="lastCol">
      <w:rPr>
        <w:b/>
        <w:bCs/>
      </w:rPr>
    </w:tblStylePr>
    <w:tblStylePr w:type="band1Vert">
      <w:tblPr/>
      <w:tcPr>
        <w:shd w:val="clear" w:color="auto" w:fill="E7F2D8" w:themeFill="accent2" w:themeFillTint="33"/>
      </w:tcPr>
    </w:tblStylePr>
    <w:tblStylePr w:type="band1Horz">
      <w:tblPr/>
      <w:tcPr>
        <w:shd w:val="clear" w:color="auto" w:fill="E7F2D8" w:themeFill="accent2" w:themeFillTint="33"/>
      </w:tcPr>
    </w:tblStylePr>
  </w:style>
  <w:style w:type="table" w:customStyle="1" w:styleId="GridTable6ColorfulAccent1">
    <w:name w:val="Grid Table 6 Colorful Accent 1"/>
    <w:basedOn w:val="TableNormal"/>
    <w:uiPriority w:val="51"/>
    <w:rsid w:val="002430B8"/>
    <w:pPr>
      <w:spacing w:after="0" w:line="240" w:lineRule="auto"/>
    </w:pPr>
    <w:rPr>
      <w:color w:val="0F6E34" w:themeColor="accent1" w:themeShade="BF"/>
    </w:rPr>
    <w:tblPr>
      <w:tblStyleRowBandSize w:val="1"/>
      <w:tblStyleColBandSize w:val="1"/>
      <w:tblBorders>
        <w:top w:val="single" w:sz="4" w:space="0" w:color="49E687" w:themeColor="accent1" w:themeTint="99"/>
        <w:left w:val="single" w:sz="4" w:space="0" w:color="49E687" w:themeColor="accent1" w:themeTint="99"/>
        <w:bottom w:val="single" w:sz="4" w:space="0" w:color="49E687" w:themeColor="accent1" w:themeTint="99"/>
        <w:right w:val="single" w:sz="4" w:space="0" w:color="49E687" w:themeColor="accent1" w:themeTint="99"/>
        <w:insideH w:val="single" w:sz="4" w:space="0" w:color="49E687" w:themeColor="accent1" w:themeTint="99"/>
        <w:insideV w:val="single" w:sz="4" w:space="0" w:color="49E687" w:themeColor="accent1" w:themeTint="99"/>
      </w:tblBorders>
    </w:tblPr>
    <w:tblStylePr w:type="firstRow">
      <w:rPr>
        <w:b/>
        <w:bCs/>
      </w:rPr>
      <w:tblPr/>
      <w:tcPr>
        <w:tcBorders>
          <w:bottom w:val="single" w:sz="12" w:space="0" w:color="49E687" w:themeColor="accent1" w:themeTint="99"/>
        </w:tcBorders>
      </w:tcPr>
    </w:tblStylePr>
    <w:tblStylePr w:type="lastRow">
      <w:rPr>
        <w:b/>
        <w:bCs/>
      </w:rPr>
      <w:tblPr/>
      <w:tcPr>
        <w:tcBorders>
          <w:top w:val="double" w:sz="4" w:space="0" w:color="49E687" w:themeColor="accent1" w:themeTint="99"/>
        </w:tcBorders>
      </w:tcPr>
    </w:tblStylePr>
    <w:tblStylePr w:type="firstCol">
      <w:rPr>
        <w:b/>
        <w:bCs/>
      </w:rPr>
    </w:tblStylePr>
    <w:tblStylePr w:type="lastCol">
      <w:rPr>
        <w:b/>
        <w:bCs/>
      </w:rPr>
    </w:tblStylePr>
    <w:tblStylePr w:type="band1Vert">
      <w:tblPr/>
      <w:tcPr>
        <w:shd w:val="clear" w:color="auto" w:fill="C2F6D7" w:themeFill="accent1" w:themeFillTint="33"/>
      </w:tcPr>
    </w:tblStylePr>
    <w:tblStylePr w:type="band1Horz">
      <w:tblPr/>
      <w:tcPr>
        <w:shd w:val="clear" w:color="auto" w:fill="C2F6D7" w:themeFill="accent1" w:themeFillTint="33"/>
      </w:tcPr>
    </w:tblStylePr>
  </w:style>
  <w:style w:type="table" w:customStyle="1" w:styleId="ListTable1LightAccent3">
    <w:name w:val="List Table 1 Light Accent 3"/>
    <w:basedOn w:val="TableNormal"/>
    <w:uiPriority w:val="46"/>
    <w:rsid w:val="002430B8"/>
    <w:pPr>
      <w:spacing w:after="0" w:line="240" w:lineRule="auto"/>
    </w:pPr>
    <w:tblPr>
      <w:tblStyleRowBandSize w:val="1"/>
      <w:tblStyleColBandSize w:val="1"/>
    </w:tblPr>
    <w:tblStylePr w:type="firstRow">
      <w:rPr>
        <w:b/>
        <w:bCs/>
      </w:rPr>
      <w:tblPr/>
      <w:tcPr>
        <w:tcBorders>
          <w:bottom w:val="single" w:sz="4" w:space="0" w:color="FBD084" w:themeColor="accent3" w:themeTint="99"/>
        </w:tcBorders>
      </w:tcPr>
    </w:tblStylePr>
    <w:tblStylePr w:type="lastRow">
      <w:rPr>
        <w:b/>
        <w:bCs/>
      </w:rPr>
      <w:tblPr/>
      <w:tcPr>
        <w:tcBorders>
          <w:top w:val="single" w:sz="4" w:space="0" w:color="FBD084" w:themeColor="accent3" w:themeTint="99"/>
        </w:tcBorders>
      </w:tcPr>
    </w:tblStylePr>
    <w:tblStylePr w:type="firstCol">
      <w:rPr>
        <w:b/>
        <w:bCs/>
      </w:rPr>
    </w:tblStylePr>
    <w:tblStylePr w:type="lastCol">
      <w:rPr>
        <w:b/>
        <w:bCs/>
      </w:rPr>
    </w:tblStylePr>
    <w:tblStylePr w:type="band1Vert">
      <w:tblPr/>
      <w:tcPr>
        <w:shd w:val="clear" w:color="auto" w:fill="FDEFD6" w:themeFill="accent3" w:themeFillTint="33"/>
      </w:tcPr>
    </w:tblStylePr>
    <w:tblStylePr w:type="band1Horz">
      <w:tblPr/>
      <w:tcPr>
        <w:shd w:val="clear" w:color="auto" w:fill="FDEFD6" w:themeFill="accent3" w:themeFillTint="33"/>
      </w:tcPr>
    </w:tblStylePr>
  </w:style>
  <w:style w:type="table" w:customStyle="1" w:styleId="ListTable2">
    <w:name w:val="List Table 2"/>
    <w:basedOn w:val="TableNormal"/>
    <w:uiPriority w:val="47"/>
    <w:rsid w:val="002430B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86876">
      <w:bodyDiv w:val="1"/>
      <w:marLeft w:val="0"/>
      <w:marRight w:val="0"/>
      <w:marTop w:val="0"/>
      <w:marBottom w:val="0"/>
      <w:divBdr>
        <w:top w:val="none" w:sz="0" w:space="0" w:color="auto"/>
        <w:left w:val="none" w:sz="0" w:space="0" w:color="auto"/>
        <w:bottom w:val="none" w:sz="0" w:space="0" w:color="auto"/>
        <w:right w:val="none" w:sz="0" w:space="0" w:color="auto"/>
      </w:divBdr>
    </w:div>
    <w:div w:id="258410061">
      <w:bodyDiv w:val="1"/>
      <w:marLeft w:val="0"/>
      <w:marRight w:val="0"/>
      <w:marTop w:val="0"/>
      <w:marBottom w:val="0"/>
      <w:divBdr>
        <w:top w:val="none" w:sz="0" w:space="0" w:color="auto"/>
        <w:left w:val="none" w:sz="0" w:space="0" w:color="auto"/>
        <w:bottom w:val="none" w:sz="0" w:space="0" w:color="auto"/>
        <w:right w:val="none" w:sz="0" w:space="0" w:color="auto"/>
      </w:divBdr>
    </w:div>
    <w:div w:id="365520966">
      <w:bodyDiv w:val="1"/>
      <w:marLeft w:val="0"/>
      <w:marRight w:val="0"/>
      <w:marTop w:val="0"/>
      <w:marBottom w:val="0"/>
      <w:divBdr>
        <w:top w:val="none" w:sz="0" w:space="0" w:color="auto"/>
        <w:left w:val="none" w:sz="0" w:space="0" w:color="auto"/>
        <w:bottom w:val="none" w:sz="0" w:space="0" w:color="auto"/>
        <w:right w:val="none" w:sz="0" w:space="0" w:color="auto"/>
      </w:divBdr>
    </w:div>
    <w:div w:id="402265384">
      <w:bodyDiv w:val="1"/>
      <w:marLeft w:val="0"/>
      <w:marRight w:val="0"/>
      <w:marTop w:val="0"/>
      <w:marBottom w:val="0"/>
      <w:divBdr>
        <w:top w:val="none" w:sz="0" w:space="0" w:color="auto"/>
        <w:left w:val="none" w:sz="0" w:space="0" w:color="auto"/>
        <w:bottom w:val="none" w:sz="0" w:space="0" w:color="auto"/>
        <w:right w:val="none" w:sz="0" w:space="0" w:color="auto"/>
      </w:divBdr>
    </w:div>
    <w:div w:id="448085682">
      <w:bodyDiv w:val="1"/>
      <w:marLeft w:val="0"/>
      <w:marRight w:val="0"/>
      <w:marTop w:val="0"/>
      <w:marBottom w:val="0"/>
      <w:divBdr>
        <w:top w:val="none" w:sz="0" w:space="0" w:color="auto"/>
        <w:left w:val="none" w:sz="0" w:space="0" w:color="auto"/>
        <w:bottom w:val="none" w:sz="0" w:space="0" w:color="auto"/>
        <w:right w:val="none" w:sz="0" w:space="0" w:color="auto"/>
      </w:divBdr>
    </w:div>
    <w:div w:id="469597896">
      <w:bodyDiv w:val="1"/>
      <w:marLeft w:val="0"/>
      <w:marRight w:val="0"/>
      <w:marTop w:val="0"/>
      <w:marBottom w:val="0"/>
      <w:divBdr>
        <w:top w:val="none" w:sz="0" w:space="0" w:color="auto"/>
        <w:left w:val="none" w:sz="0" w:space="0" w:color="auto"/>
        <w:bottom w:val="none" w:sz="0" w:space="0" w:color="auto"/>
        <w:right w:val="none" w:sz="0" w:space="0" w:color="auto"/>
      </w:divBdr>
    </w:div>
    <w:div w:id="576667144">
      <w:bodyDiv w:val="1"/>
      <w:marLeft w:val="0"/>
      <w:marRight w:val="0"/>
      <w:marTop w:val="0"/>
      <w:marBottom w:val="0"/>
      <w:divBdr>
        <w:top w:val="none" w:sz="0" w:space="0" w:color="auto"/>
        <w:left w:val="none" w:sz="0" w:space="0" w:color="auto"/>
        <w:bottom w:val="none" w:sz="0" w:space="0" w:color="auto"/>
        <w:right w:val="none" w:sz="0" w:space="0" w:color="auto"/>
      </w:divBdr>
    </w:div>
    <w:div w:id="851453974">
      <w:bodyDiv w:val="1"/>
      <w:marLeft w:val="0"/>
      <w:marRight w:val="0"/>
      <w:marTop w:val="0"/>
      <w:marBottom w:val="0"/>
      <w:divBdr>
        <w:top w:val="none" w:sz="0" w:space="0" w:color="auto"/>
        <w:left w:val="none" w:sz="0" w:space="0" w:color="auto"/>
        <w:bottom w:val="none" w:sz="0" w:space="0" w:color="auto"/>
        <w:right w:val="none" w:sz="0" w:space="0" w:color="auto"/>
      </w:divBdr>
    </w:div>
    <w:div w:id="1097748686">
      <w:bodyDiv w:val="1"/>
      <w:marLeft w:val="0"/>
      <w:marRight w:val="0"/>
      <w:marTop w:val="0"/>
      <w:marBottom w:val="0"/>
      <w:divBdr>
        <w:top w:val="none" w:sz="0" w:space="0" w:color="auto"/>
        <w:left w:val="none" w:sz="0" w:space="0" w:color="auto"/>
        <w:bottom w:val="none" w:sz="0" w:space="0" w:color="auto"/>
        <w:right w:val="none" w:sz="0" w:space="0" w:color="auto"/>
      </w:divBdr>
    </w:div>
    <w:div w:id="1169522188">
      <w:bodyDiv w:val="1"/>
      <w:marLeft w:val="0"/>
      <w:marRight w:val="0"/>
      <w:marTop w:val="0"/>
      <w:marBottom w:val="0"/>
      <w:divBdr>
        <w:top w:val="none" w:sz="0" w:space="0" w:color="auto"/>
        <w:left w:val="none" w:sz="0" w:space="0" w:color="auto"/>
        <w:bottom w:val="none" w:sz="0" w:space="0" w:color="auto"/>
        <w:right w:val="none" w:sz="0" w:space="0" w:color="auto"/>
      </w:divBdr>
    </w:div>
    <w:div w:id="1196969243">
      <w:bodyDiv w:val="1"/>
      <w:marLeft w:val="0"/>
      <w:marRight w:val="0"/>
      <w:marTop w:val="0"/>
      <w:marBottom w:val="0"/>
      <w:divBdr>
        <w:top w:val="none" w:sz="0" w:space="0" w:color="auto"/>
        <w:left w:val="none" w:sz="0" w:space="0" w:color="auto"/>
        <w:bottom w:val="none" w:sz="0" w:space="0" w:color="auto"/>
        <w:right w:val="none" w:sz="0" w:space="0" w:color="auto"/>
      </w:divBdr>
    </w:div>
    <w:div w:id="1249386560">
      <w:bodyDiv w:val="1"/>
      <w:marLeft w:val="0"/>
      <w:marRight w:val="0"/>
      <w:marTop w:val="0"/>
      <w:marBottom w:val="0"/>
      <w:divBdr>
        <w:top w:val="none" w:sz="0" w:space="0" w:color="auto"/>
        <w:left w:val="none" w:sz="0" w:space="0" w:color="auto"/>
        <w:bottom w:val="none" w:sz="0" w:space="0" w:color="auto"/>
        <w:right w:val="none" w:sz="0" w:space="0" w:color="auto"/>
      </w:divBdr>
    </w:div>
    <w:div w:id="1335718274">
      <w:bodyDiv w:val="1"/>
      <w:marLeft w:val="0"/>
      <w:marRight w:val="0"/>
      <w:marTop w:val="0"/>
      <w:marBottom w:val="0"/>
      <w:divBdr>
        <w:top w:val="none" w:sz="0" w:space="0" w:color="auto"/>
        <w:left w:val="none" w:sz="0" w:space="0" w:color="auto"/>
        <w:bottom w:val="none" w:sz="0" w:space="0" w:color="auto"/>
        <w:right w:val="none" w:sz="0" w:space="0" w:color="auto"/>
      </w:divBdr>
    </w:div>
    <w:div w:id="1345589328">
      <w:bodyDiv w:val="1"/>
      <w:marLeft w:val="0"/>
      <w:marRight w:val="0"/>
      <w:marTop w:val="0"/>
      <w:marBottom w:val="0"/>
      <w:divBdr>
        <w:top w:val="none" w:sz="0" w:space="0" w:color="auto"/>
        <w:left w:val="none" w:sz="0" w:space="0" w:color="auto"/>
        <w:bottom w:val="none" w:sz="0" w:space="0" w:color="auto"/>
        <w:right w:val="none" w:sz="0" w:space="0" w:color="auto"/>
      </w:divBdr>
    </w:div>
    <w:div w:id="1500778309">
      <w:bodyDiv w:val="1"/>
      <w:marLeft w:val="0"/>
      <w:marRight w:val="0"/>
      <w:marTop w:val="0"/>
      <w:marBottom w:val="0"/>
      <w:divBdr>
        <w:top w:val="none" w:sz="0" w:space="0" w:color="auto"/>
        <w:left w:val="none" w:sz="0" w:space="0" w:color="auto"/>
        <w:bottom w:val="none" w:sz="0" w:space="0" w:color="auto"/>
        <w:right w:val="none" w:sz="0" w:space="0" w:color="auto"/>
      </w:divBdr>
    </w:div>
    <w:div w:id="160322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emf"/><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hyperlink" Target="http://www.linkedin.com/in/alexandraholland"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chart" Target="charts/chart1.xml"/><Relationship Id="rId46" Type="http://schemas.openxmlformats.org/officeDocument/2006/relationships/image" Target="media/image33.em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returnonchange.com/piarcspbc" TargetMode="External"/><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8.emf"/><Relationship Id="rId54" Type="http://schemas.openxmlformats.org/officeDocument/2006/relationships/hyperlink" Target="http://www.piarcs.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38.jpeg"/><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footer" Target="footer2.xml"/><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header" Target="header3.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footer4.xml.rels><?xml version="1.0" encoding="UTF-8" standalone="yes"?>
<Relationships xmlns="http://schemas.openxmlformats.org/package/2006/relationships"><Relationship Id="rId1" Type="http://schemas.openxmlformats.org/officeDocument/2006/relationships/image" Target="media/image6.emf"/></Relationships>
</file>

<file path=word/_rels/footer5.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header3.xml.rels><?xml version="1.0" encoding="UTF-8" standalone="yes"?>
<Relationships xmlns="http://schemas.openxmlformats.org/package/2006/relationships"><Relationship Id="rId1" Type="http://schemas.openxmlformats.org/officeDocument/2006/relationships/image" Target="media/image5.tiff"/></Relationships>
</file>

<file path=word/charts/_rels/chart1.xml.rels><?xml version="1.0" encoding="UTF-8" standalone="yes"?>
<Relationships xmlns="http://schemas.openxmlformats.org/package/2006/relationships"><Relationship Id="rId1" Type="http://schemas.openxmlformats.org/officeDocument/2006/relationships/oleObject" Target="file:///C:\Users\alexandra\Desktop\141014%20Latest%20RVC%20offering\PIARCS%20Financial%20projections%20&amp;%20use%20of%20funds%20&amp;%20valuation%20141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a:t>PIARCS' use of the $500,000 seed investment</a:t>
            </a:r>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cat>
            <c:strRef>
              <c:f>'Use of funds'!$N$19:$N$21</c:f>
              <c:strCache>
                <c:ptCount val="3"/>
                <c:pt idx="0">
                  <c:v>Fixed assets</c:v>
                </c:pt>
                <c:pt idx="1">
                  <c:v>Legal fees</c:v>
                </c:pt>
                <c:pt idx="2">
                  <c:v>Operating cost</c:v>
                </c:pt>
              </c:strCache>
            </c:strRef>
          </c:cat>
          <c:val>
            <c:numRef>
              <c:f>'Use of funds'!$O$19:$O$21</c:f>
              <c:numCache>
                <c:formatCode>_("$"* #,##0_);_("$"* \(#,##0\);_("$"* "-"??_);_(@_)</c:formatCode>
                <c:ptCount val="3"/>
                <c:pt idx="0">
                  <c:v>208010.99</c:v>
                </c:pt>
                <c:pt idx="1">
                  <c:v>95000</c:v>
                </c:pt>
                <c:pt idx="2">
                  <c:v>196989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9746237970253713"/>
          <c:y val="0.26980570137066201"/>
          <c:w val="0.38587095363079621"/>
          <c:h val="0.58117526975794698"/>
        </c:manualLayout>
      </c:layout>
      <c:overlay val="0"/>
      <c:spPr>
        <a:noFill/>
        <a:ln>
          <a:noFill/>
        </a:ln>
        <a:effectLst/>
      </c:spPr>
      <c:txPr>
        <a:bodyPr rot="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PIARCS">
      <a:dk1>
        <a:sysClr val="windowText" lastClr="000000"/>
      </a:dk1>
      <a:lt1>
        <a:sysClr val="window" lastClr="FFFFFF"/>
      </a:lt1>
      <a:dk2>
        <a:srgbClr val="455F51"/>
      </a:dk2>
      <a:lt2>
        <a:srgbClr val="E3DED1"/>
      </a:lt2>
      <a:accent1>
        <a:srgbClr val="149346"/>
      </a:accent1>
      <a:accent2>
        <a:srgbClr val="8BBF41"/>
      </a:accent2>
      <a:accent3>
        <a:srgbClr val="F9B233"/>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PIARCS offers revolutionary solutions to peak oil, peak phosphorus and water pollution.  In the near term, PIARCS’ novel bioreactor designs will enable algae-based biodiesel production prices under $ 92/barrel. Leveraging the founder’s interdisciplinary IP, PIARCS primarily conducts R&amp;D and generates revenue through licensing.  PIARCS was formed as a Delaware Public Benefit Corporation to promote environmental sustainability and is now seeking investment partners aligned with this public purpose.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8E70FB-7CA7-4D80-8C5C-E6317B659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11373</Words>
  <Characters>64830</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Business PLan</vt:lpstr>
    </vt:vector>
  </TitlesOfParts>
  <Company/>
  <LinksUpToDate>false</LinksUpToDate>
  <CharactersWithSpaces>76051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dc:title>
  <dc:creator>alexandra</dc:creator>
  <cp:lastModifiedBy>home desktop</cp:lastModifiedBy>
  <cp:revision>2</cp:revision>
  <cp:lastPrinted>2014-04-29T11:16:00Z</cp:lastPrinted>
  <dcterms:created xsi:type="dcterms:W3CDTF">2014-11-12T19:28:00Z</dcterms:created>
  <dcterms:modified xsi:type="dcterms:W3CDTF">2014-11-12T19:28:00Z</dcterms:modified>
</cp:coreProperties>
</file>