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01" w:rsidRPr="007F6133" w:rsidRDefault="00C72226">
      <w:pPr>
        <w:rPr>
          <w:b/>
        </w:rPr>
      </w:pPr>
      <w:bookmarkStart w:id="0" w:name="_GoBack"/>
      <w:bookmarkEnd w:id="0"/>
      <w:r w:rsidRPr="007F6133">
        <w:rPr>
          <w:b/>
        </w:rPr>
        <w:t>PIARCS’ Terms of the offering</w:t>
      </w:r>
    </w:p>
    <w:p w:rsidR="00C72226" w:rsidRDefault="00C72226"/>
    <w:p w:rsidR="003B31E9" w:rsidRPr="003B31E9" w:rsidRDefault="003B31E9" w:rsidP="003B31E9">
      <w:pPr>
        <w:rPr>
          <w:rFonts w:eastAsia="Calibri" w:cs="Times New Roman"/>
        </w:rPr>
      </w:pPr>
      <w:r w:rsidRPr="003B31E9">
        <w:rPr>
          <w:rFonts w:eastAsia="Calibri" w:cs="Times New Roman"/>
        </w:rPr>
        <w:t>Patricia Rogers at Moye White wrote the Material Terms of Offering as well as the Subscription Agreemen</w:t>
      </w:r>
      <w:r w:rsidR="00A91700">
        <w:rPr>
          <w:rFonts w:eastAsia="Calibri" w:cs="Times New Roman"/>
        </w:rPr>
        <w:t>t.  Revisions as of September 25</w:t>
      </w:r>
      <w:r w:rsidR="00A91700" w:rsidRPr="00A91700">
        <w:rPr>
          <w:rFonts w:eastAsia="Calibri" w:cs="Times New Roman"/>
          <w:vertAlign w:val="superscript"/>
        </w:rPr>
        <w:t>th</w:t>
      </w:r>
      <w:r w:rsidR="00A91700">
        <w:rPr>
          <w:rFonts w:eastAsia="Calibri" w:cs="Times New Roman"/>
        </w:rPr>
        <w:t xml:space="preserve"> </w:t>
      </w:r>
      <w:r w:rsidRPr="003B31E9">
        <w:rPr>
          <w:rFonts w:eastAsia="Calibri" w:cs="Times New Roman"/>
        </w:rPr>
        <w:t>2014 will feature the following modifications, which will be final once negotiated with the investors.</w:t>
      </w:r>
    </w:p>
    <w:p w:rsidR="003B31E9" w:rsidRPr="003B31E9" w:rsidRDefault="003B31E9" w:rsidP="003B31E9">
      <w:pPr>
        <w:rPr>
          <w:rFonts w:eastAsia="Calibri" w:cs="Times New Roman"/>
        </w:rPr>
      </w:pPr>
    </w:p>
    <w:p w:rsidR="003B31E9" w:rsidRPr="003B31E9" w:rsidRDefault="003B31E9" w:rsidP="003B31E9">
      <w:pPr>
        <w:rPr>
          <w:rFonts w:eastAsia="Calibri" w:cs="Times New Roman"/>
        </w:rPr>
      </w:pPr>
    </w:p>
    <w:p w:rsidR="003B31E9" w:rsidRPr="003B31E9" w:rsidRDefault="003B31E9" w:rsidP="003B31E9">
      <w:pPr>
        <w:autoSpaceDE w:val="0"/>
        <w:autoSpaceDN w:val="0"/>
        <w:adjustRightInd w:val="0"/>
        <w:spacing w:line="240" w:lineRule="atLeast"/>
        <w:ind w:right="720"/>
        <w:rPr>
          <w:rFonts w:ascii="Times New Roman" w:eastAsia="Times New Roman" w:hAnsi="Times New Roman" w:cs="Times New Roman"/>
          <w:color w:val="000000"/>
        </w:rPr>
      </w:pPr>
      <w:r w:rsidRPr="003B31E9">
        <w:rPr>
          <w:rFonts w:ascii="Times New Roman" w:eastAsia="Times New Roman" w:hAnsi="Times New Roman" w:cs="Times New Roman"/>
          <w:color w:val="000000"/>
        </w:rPr>
        <w:t>September 23</w:t>
      </w:r>
      <w:r w:rsidRPr="003B31E9">
        <w:rPr>
          <w:rFonts w:ascii="Times New Roman" w:eastAsia="Times New Roman" w:hAnsi="Times New Roman" w:cs="Times New Roman"/>
          <w:color w:val="000000"/>
          <w:vertAlign w:val="superscript"/>
        </w:rPr>
        <w:t>rd</w:t>
      </w:r>
      <w:r w:rsidRPr="003B31E9">
        <w:rPr>
          <w:rFonts w:ascii="Times New Roman" w:eastAsia="Times New Roman" w:hAnsi="Times New Roman" w:cs="Times New Roman"/>
          <w:color w:val="000000"/>
        </w:rPr>
        <w:t>, 2014</w:t>
      </w:r>
      <w:bookmarkStart w:id="1" w:name="_DV_M2"/>
      <w:bookmarkEnd w:id="1"/>
    </w:p>
    <w:p w:rsidR="003B31E9" w:rsidRPr="003B31E9" w:rsidRDefault="003B31E9" w:rsidP="003B31E9">
      <w:pPr>
        <w:autoSpaceDE w:val="0"/>
        <w:autoSpaceDN w:val="0"/>
        <w:adjustRightInd w:val="0"/>
        <w:spacing w:line="240" w:lineRule="atLeast"/>
        <w:ind w:right="720"/>
        <w:rPr>
          <w:rFonts w:ascii="Times New Roman" w:eastAsia="Times New Roman" w:hAnsi="Times New Roman" w:cs="Times New Roman"/>
          <w:color w:val="000000"/>
        </w:rPr>
      </w:pPr>
      <w:bookmarkStart w:id="2" w:name="_DV_M3"/>
      <w:bookmarkEnd w:id="2"/>
    </w:p>
    <w:p w:rsidR="003B31E9" w:rsidRPr="003B31E9" w:rsidRDefault="003B31E9" w:rsidP="003B31E9">
      <w:pPr>
        <w:autoSpaceDE w:val="0"/>
        <w:autoSpaceDN w:val="0"/>
        <w:adjustRightInd w:val="0"/>
        <w:spacing w:line="240" w:lineRule="atLeast"/>
        <w:ind w:right="720"/>
        <w:rPr>
          <w:rFonts w:ascii="Times New Roman" w:eastAsia="Times New Roman" w:hAnsi="Times New Roman" w:cs="Times New Roman"/>
          <w:b/>
          <w:bCs/>
          <w:color w:val="000000"/>
        </w:rPr>
      </w:pPr>
      <w:bookmarkStart w:id="3" w:name="_DV_M7"/>
      <w:bookmarkEnd w:id="3"/>
      <w:r w:rsidRPr="003B31E9">
        <w:rPr>
          <w:rFonts w:ascii="Times New Roman" w:eastAsia="Times New Roman" w:hAnsi="Times New Roman" w:cs="Times New Roman"/>
          <w:b/>
          <w:bCs/>
          <w:color w:val="000000"/>
        </w:rPr>
        <w:tab/>
        <w:t>Re:</w:t>
      </w:r>
      <w:r w:rsidRPr="003B31E9">
        <w:rPr>
          <w:rFonts w:ascii="Times New Roman" w:eastAsia="Times New Roman" w:hAnsi="Times New Roman" w:cs="Times New Roman"/>
          <w:b/>
          <w:bCs/>
          <w:color w:val="000000"/>
        </w:rPr>
        <w:tab/>
      </w:r>
      <w:r w:rsidRPr="003B31E9">
        <w:rPr>
          <w:rFonts w:ascii="Times New Roman" w:eastAsia="Times New Roman" w:hAnsi="Times New Roman" w:cs="Times New Roman"/>
          <w:b/>
          <w:bCs/>
          <w:color w:val="000000"/>
          <w:u w:val="single"/>
        </w:rPr>
        <w:t>Proposed Equity Issuance of PIARCS, PBC</w:t>
      </w:r>
    </w:p>
    <w:p w:rsidR="003B31E9" w:rsidRPr="003B31E9" w:rsidRDefault="003B31E9" w:rsidP="003B31E9">
      <w:pPr>
        <w:autoSpaceDE w:val="0"/>
        <w:autoSpaceDN w:val="0"/>
        <w:adjustRightInd w:val="0"/>
        <w:spacing w:line="240" w:lineRule="atLeast"/>
        <w:ind w:right="720"/>
        <w:rPr>
          <w:rFonts w:ascii="Times New Roman" w:eastAsia="Times New Roman" w:hAnsi="Times New Roman" w:cs="Times New Roman"/>
          <w:color w:val="000000"/>
        </w:rPr>
      </w:pPr>
    </w:p>
    <w:p w:rsidR="003B31E9" w:rsidRPr="003B31E9" w:rsidRDefault="003B31E9" w:rsidP="003B31E9">
      <w:pPr>
        <w:spacing w:line="240" w:lineRule="auto"/>
        <w:ind w:firstLine="720"/>
        <w:jc w:val="both"/>
        <w:rPr>
          <w:rFonts w:ascii="Times New Roman" w:eastAsia="Times New Roman" w:hAnsi="Times New Roman" w:cs="Times New Roman"/>
        </w:rPr>
      </w:pPr>
      <w:bookmarkStart w:id="4" w:name="_DV_M8"/>
      <w:bookmarkEnd w:id="4"/>
      <w:r w:rsidRPr="003B31E9">
        <w:rPr>
          <w:rFonts w:ascii="Times New Roman" w:eastAsia="Times New Roman" w:hAnsi="Times New Roman" w:cs="Times New Roman"/>
          <w:color w:val="000000"/>
        </w:rPr>
        <w:t>The following provides an overview of a proposed equity sale (the “</w:t>
      </w:r>
      <w:r w:rsidRPr="003B31E9">
        <w:rPr>
          <w:rFonts w:ascii="Times New Roman" w:eastAsia="Times New Roman" w:hAnsi="Times New Roman" w:cs="Times New Roman"/>
          <w:color w:val="000000"/>
          <w:u w:val="single"/>
        </w:rPr>
        <w:t>Transaction</w:t>
      </w:r>
      <w:r w:rsidRPr="003B31E9">
        <w:rPr>
          <w:rFonts w:ascii="Times New Roman" w:eastAsia="Times New Roman" w:hAnsi="Times New Roman" w:cs="Times New Roman"/>
          <w:color w:val="000000"/>
        </w:rPr>
        <w:t xml:space="preserve">”) between </w:t>
      </w:r>
      <w:r w:rsidRPr="003B31E9">
        <w:rPr>
          <w:rFonts w:ascii="Times New Roman" w:eastAsia="Times New Roman" w:hAnsi="Times New Roman" w:cs="Times New Roman"/>
        </w:rPr>
        <w:t>PIARCS, PBC, a Delaware public benefit corporation, (“</w:t>
      </w:r>
      <w:r w:rsidRPr="003B31E9">
        <w:rPr>
          <w:rFonts w:ascii="Times New Roman" w:eastAsia="Times New Roman" w:hAnsi="Times New Roman" w:cs="Times New Roman"/>
          <w:color w:val="000000"/>
          <w:u w:val="single"/>
        </w:rPr>
        <w:t>Issuer</w:t>
      </w:r>
      <w:r w:rsidRPr="003B31E9">
        <w:rPr>
          <w:rFonts w:ascii="Times New Roman" w:eastAsia="Times New Roman" w:hAnsi="Times New Roman" w:cs="Times New Roman"/>
          <w:color w:val="000000"/>
        </w:rPr>
        <w:t>”) and certain investors to be determined (each an “</w:t>
      </w:r>
      <w:r w:rsidRPr="003B31E9">
        <w:rPr>
          <w:rFonts w:ascii="Times New Roman" w:eastAsia="Times New Roman" w:hAnsi="Times New Roman" w:cs="Times New Roman"/>
          <w:color w:val="000000"/>
          <w:u w:val="single"/>
        </w:rPr>
        <w:t>Investor</w:t>
      </w:r>
      <w:r w:rsidRPr="003B31E9">
        <w:rPr>
          <w:rFonts w:ascii="Times New Roman" w:eastAsia="Times New Roman" w:hAnsi="Times New Roman" w:cs="Times New Roman"/>
          <w:color w:val="000000"/>
        </w:rPr>
        <w:t>” and collectively, the “</w:t>
      </w:r>
      <w:r w:rsidRPr="003B31E9">
        <w:rPr>
          <w:rFonts w:ascii="Times New Roman" w:eastAsia="Times New Roman" w:hAnsi="Times New Roman" w:cs="Times New Roman"/>
          <w:color w:val="000000"/>
          <w:u w:val="single"/>
        </w:rPr>
        <w:t>Investors</w:t>
      </w:r>
      <w:r w:rsidRPr="003B31E9">
        <w:rPr>
          <w:rFonts w:ascii="Times New Roman" w:eastAsia="Times New Roman" w:hAnsi="Times New Roman" w:cs="Times New Roman"/>
          <w:color w:val="000000"/>
        </w:rPr>
        <w:t>” and, together with the Issuer, each a “</w:t>
      </w:r>
      <w:r w:rsidRPr="003B31E9">
        <w:rPr>
          <w:rFonts w:ascii="Times New Roman" w:eastAsia="Times New Roman" w:hAnsi="Times New Roman" w:cs="Times New Roman"/>
          <w:color w:val="000000"/>
          <w:u w:val="single"/>
        </w:rPr>
        <w:t>Party</w:t>
      </w:r>
      <w:r w:rsidRPr="003B31E9">
        <w:rPr>
          <w:rFonts w:ascii="Times New Roman" w:eastAsia="Times New Roman" w:hAnsi="Times New Roman" w:cs="Times New Roman"/>
          <w:color w:val="000000"/>
        </w:rPr>
        <w:t>” and collectively the “</w:t>
      </w:r>
      <w:r w:rsidRPr="003B31E9">
        <w:rPr>
          <w:rFonts w:ascii="Times New Roman" w:eastAsia="Times New Roman" w:hAnsi="Times New Roman" w:cs="Times New Roman"/>
          <w:color w:val="000000"/>
          <w:u w:val="single"/>
        </w:rPr>
        <w:t>Parties</w:t>
      </w:r>
      <w:r w:rsidRPr="003B31E9">
        <w:rPr>
          <w:rFonts w:ascii="Times New Roman" w:eastAsia="Times New Roman" w:hAnsi="Times New Roman" w:cs="Times New Roman"/>
          <w:color w:val="000000"/>
        </w:rPr>
        <w:t xml:space="preserve">”).  This summary does not constitute an offer of securities and any transactions contemplated by this summary are subject to the execution of definitive agreements with respect to the Transaction, compliance with all applicable federal and state securities laws and regulations and compliance with the other terms and conditions of the Transaction provided in this summary or in the definitive agreements for the Transaction.  </w:t>
      </w:r>
    </w:p>
    <w:p w:rsidR="003B31E9" w:rsidRPr="003B31E9" w:rsidRDefault="003B31E9" w:rsidP="003B31E9">
      <w:pPr>
        <w:spacing w:line="240" w:lineRule="auto"/>
        <w:ind w:firstLine="720"/>
        <w:jc w:val="both"/>
        <w:rPr>
          <w:rFonts w:ascii="Times New Roman" w:eastAsia="Times New Roman" w:hAnsi="Times New Roman" w:cs="Times New Roman"/>
          <w:color w:val="000000"/>
        </w:rPr>
      </w:pPr>
    </w:p>
    <w:p w:rsidR="003B31E9" w:rsidRPr="003B31E9" w:rsidRDefault="003B31E9" w:rsidP="003B31E9">
      <w:pPr>
        <w:tabs>
          <w:tab w:val="left" w:leader="dot" w:pos="2160"/>
        </w:tabs>
        <w:spacing w:after="240" w:line="240" w:lineRule="auto"/>
        <w:ind w:left="2160" w:hanging="2160"/>
        <w:jc w:val="both"/>
        <w:rPr>
          <w:rFonts w:ascii="Times New Roman" w:eastAsia="Times New Roman" w:hAnsi="Times New Roman" w:cs="Times New Roman"/>
        </w:rPr>
      </w:pPr>
      <w:r w:rsidRPr="003B31E9">
        <w:rPr>
          <w:rFonts w:ascii="Times New Roman" w:eastAsia="Times New Roman" w:hAnsi="Times New Roman" w:cs="Times New Roman"/>
          <w:b/>
        </w:rPr>
        <w:t>Issuer</w:t>
      </w:r>
      <w:r w:rsidRPr="003B31E9">
        <w:rPr>
          <w:rFonts w:ascii="Times New Roman" w:eastAsia="Times New Roman" w:hAnsi="Times New Roman" w:cs="Times New Roman"/>
        </w:rPr>
        <w:tab/>
        <w:t>PIARCS, PBC, a Delaware public benefit corporation</w:t>
      </w:r>
    </w:p>
    <w:p w:rsidR="003B31E9" w:rsidRPr="003B31E9" w:rsidRDefault="003B31E9" w:rsidP="003B31E9">
      <w:pPr>
        <w:tabs>
          <w:tab w:val="left" w:leader="dot" w:pos="2160"/>
        </w:tabs>
        <w:spacing w:after="240" w:line="240" w:lineRule="auto"/>
        <w:ind w:left="2160" w:hanging="2160"/>
        <w:jc w:val="both"/>
        <w:rPr>
          <w:rFonts w:ascii="Times New Roman" w:eastAsia="Times New Roman" w:hAnsi="Times New Roman" w:cs="Times New Roman"/>
        </w:rPr>
      </w:pPr>
      <w:r w:rsidRPr="003B31E9">
        <w:rPr>
          <w:rFonts w:ascii="Times New Roman" w:eastAsia="Times New Roman" w:hAnsi="Times New Roman" w:cs="Times New Roman"/>
          <w:b/>
        </w:rPr>
        <w:t>Transaction</w:t>
      </w:r>
      <w:r w:rsidRPr="003B31E9">
        <w:rPr>
          <w:rFonts w:ascii="Times New Roman" w:eastAsia="Times New Roman" w:hAnsi="Times New Roman" w:cs="Times New Roman"/>
        </w:rPr>
        <w:tab/>
        <w:t>Issuance and sale of up to 20,000 shares of Issuer’s existing Series A Preferred Stock (the “</w:t>
      </w:r>
      <w:r w:rsidRPr="003B31E9">
        <w:rPr>
          <w:rFonts w:ascii="Times New Roman" w:eastAsia="Times New Roman" w:hAnsi="Times New Roman" w:cs="Times New Roman"/>
          <w:u w:val="single"/>
        </w:rPr>
        <w:t>Shares</w:t>
      </w:r>
      <w:r w:rsidRPr="003B31E9">
        <w:rPr>
          <w:rFonts w:ascii="Times New Roman" w:eastAsia="Times New Roman" w:hAnsi="Times New Roman" w:cs="Times New Roman"/>
        </w:rPr>
        <w:t>”), $0.001 par value, at a price per share equal to $25.00, for an aggregate purchase price of $500,000.</w:t>
      </w:r>
    </w:p>
    <w:p w:rsidR="003B31E9" w:rsidRPr="003B31E9" w:rsidRDefault="003B31E9" w:rsidP="003B31E9">
      <w:pPr>
        <w:tabs>
          <w:tab w:val="left" w:leader="dot" w:pos="2160"/>
        </w:tabs>
        <w:spacing w:after="240" w:line="240" w:lineRule="auto"/>
        <w:ind w:left="2160" w:hanging="2160"/>
        <w:jc w:val="both"/>
        <w:rPr>
          <w:rFonts w:ascii="Times New Roman" w:eastAsia="Times New Roman" w:hAnsi="Times New Roman" w:cs="Times New Roman"/>
        </w:rPr>
      </w:pPr>
      <w:r w:rsidRPr="003B31E9">
        <w:rPr>
          <w:rFonts w:ascii="Times New Roman" w:eastAsia="Times New Roman" w:hAnsi="Times New Roman" w:cs="Times New Roman"/>
          <w:b/>
        </w:rPr>
        <w:t>Purpose</w:t>
      </w:r>
      <w:r w:rsidRPr="003B31E9">
        <w:rPr>
          <w:rFonts w:ascii="Times New Roman" w:eastAsia="Times New Roman" w:hAnsi="Times New Roman" w:cs="Times New Roman"/>
        </w:rPr>
        <w:tab/>
        <w:t xml:space="preserve"> To fund working capital needs of the Issuer.</w:t>
      </w:r>
    </w:p>
    <w:p w:rsidR="003B31E9" w:rsidRPr="003B31E9" w:rsidRDefault="003B31E9" w:rsidP="003B31E9">
      <w:pPr>
        <w:tabs>
          <w:tab w:val="left" w:leader="dot" w:pos="2160"/>
        </w:tabs>
        <w:spacing w:line="240" w:lineRule="auto"/>
        <w:ind w:left="2160" w:hanging="2160"/>
        <w:jc w:val="both"/>
        <w:rPr>
          <w:rFonts w:ascii="Times New Roman" w:eastAsia="Times New Roman" w:hAnsi="Times New Roman" w:cs="Times New Roman"/>
          <w:b/>
        </w:rPr>
      </w:pPr>
      <w:r w:rsidRPr="003B31E9">
        <w:rPr>
          <w:rFonts w:ascii="Times New Roman" w:eastAsia="Times New Roman" w:hAnsi="Times New Roman" w:cs="Times New Roman"/>
          <w:b/>
        </w:rPr>
        <w:t>Subscription</w:t>
      </w:r>
    </w:p>
    <w:p w:rsidR="003B31E9" w:rsidRPr="003B31E9" w:rsidRDefault="003B31E9" w:rsidP="003B31E9">
      <w:pPr>
        <w:tabs>
          <w:tab w:val="left" w:leader="dot" w:pos="2160"/>
        </w:tabs>
        <w:spacing w:after="240" w:line="240" w:lineRule="auto"/>
        <w:ind w:left="2160" w:hanging="2160"/>
        <w:jc w:val="both"/>
        <w:rPr>
          <w:rFonts w:ascii="Times New Roman" w:eastAsia="Times New Roman" w:hAnsi="Times New Roman" w:cs="Times New Roman"/>
        </w:rPr>
      </w:pPr>
      <w:r w:rsidRPr="003B31E9">
        <w:rPr>
          <w:rFonts w:ascii="Times New Roman" w:eastAsia="Times New Roman" w:hAnsi="Times New Roman" w:cs="Times New Roman"/>
          <w:b/>
        </w:rPr>
        <w:t>Agreement</w:t>
      </w:r>
      <w:r w:rsidRPr="003B31E9">
        <w:rPr>
          <w:rFonts w:ascii="Times New Roman" w:eastAsia="Times New Roman" w:hAnsi="Times New Roman" w:cs="Times New Roman"/>
        </w:rPr>
        <w:tab/>
        <w:t xml:space="preserve">Investors will each enter into a subscription agreement with Issuer in a in the form attached hereto as </w:t>
      </w:r>
      <w:r w:rsidRPr="003B31E9">
        <w:rPr>
          <w:rFonts w:ascii="Times New Roman" w:eastAsia="Times New Roman" w:hAnsi="Times New Roman" w:cs="Times New Roman"/>
          <w:u w:val="single"/>
        </w:rPr>
        <w:t>Exhibit B</w:t>
      </w:r>
      <w:r w:rsidRPr="003B31E9">
        <w:rPr>
          <w:rFonts w:ascii="Times New Roman" w:eastAsia="Times New Roman" w:hAnsi="Times New Roman" w:cs="Times New Roman"/>
        </w:rPr>
        <w:t xml:space="preserve"> (the “</w:t>
      </w:r>
      <w:r w:rsidRPr="003B31E9">
        <w:rPr>
          <w:rFonts w:ascii="Times New Roman" w:eastAsia="Times New Roman" w:hAnsi="Times New Roman" w:cs="Times New Roman"/>
          <w:u w:val="single"/>
        </w:rPr>
        <w:t>Subscription Agreement</w:t>
      </w:r>
      <w:r w:rsidRPr="003B31E9">
        <w:rPr>
          <w:rFonts w:ascii="Times New Roman" w:eastAsia="Times New Roman" w:hAnsi="Times New Roman" w:cs="Times New Roman"/>
        </w:rPr>
        <w:t xml:space="preserve">”). </w:t>
      </w:r>
    </w:p>
    <w:p w:rsidR="003B31E9" w:rsidRPr="003B31E9" w:rsidRDefault="003B31E9" w:rsidP="003B31E9">
      <w:pPr>
        <w:tabs>
          <w:tab w:val="left" w:leader="dot" w:pos="2160"/>
        </w:tabs>
        <w:spacing w:line="240" w:lineRule="auto"/>
        <w:jc w:val="both"/>
        <w:rPr>
          <w:rFonts w:ascii="Times New Roman" w:eastAsia="Times New Roman" w:hAnsi="Times New Roman" w:cs="Times New Roman"/>
          <w:b/>
        </w:rPr>
      </w:pPr>
      <w:r w:rsidRPr="003B31E9">
        <w:rPr>
          <w:rFonts w:ascii="Times New Roman" w:eastAsia="Times New Roman" w:hAnsi="Times New Roman" w:cs="Times New Roman"/>
          <w:b/>
        </w:rPr>
        <w:t>Shareholders</w:t>
      </w:r>
    </w:p>
    <w:p w:rsidR="003B31E9" w:rsidRPr="003B31E9" w:rsidRDefault="003B31E9" w:rsidP="003B31E9">
      <w:pPr>
        <w:tabs>
          <w:tab w:val="left" w:leader="dot" w:pos="2160"/>
        </w:tabs>
        <w:spacing w:line="240" w:lineRule="auto"/>
        <w:ind w:left="2160" w:hanging="2160"/>
        <w:jc w:val="both"/>
        <w:rPr>
          <w:rFonts w:ascii="Times New Roman" w:eastAsia="Times New Roman" w:hAnsi="Times New Roman" w:cs="Times New Roman"/>
        </w:rPr>
      </w:pPr>
      <w:r w:rsidRPr="003B31E9">
        <w:rPr>
          <w:rFonts w:ascii="Times New Roman" w:eastAsia="Times New Roman" w:hAnsi="Times New Roman" w:cs="Times New Roman"/>
          <w:b/>
        </w:rPr>
        <w:t>Agreement</w:t>
      </w:r>
      <w:r w:rsidRPr="003B31E9">
        <w:rPr>
          <w:rFonts w:ascii="Times New Roman" w:eastAsia="Times New Roman" w:hAnsi="Times New Roman" w:cs="Times New Roman"/>
        </w:rPr>
        <w:tab/>
        <w:t xml:space="preserve">Each Investor will execute a Joinder to the Issuer’s Shareholders Agreement, a copy of which is attached hereto as </w:t>
      </w:r>
      <w:r w:rsidRPr="003B31E9">
        <w:rPr>
          <w:rFonts w:ascii="Times New Roman" w:eastAsia="Times New Roman" w:hAnsi="Times New Roman" w:cs="Times New Roman"/>
          <w:u w:val="single"/>
        </w:rPr>
        <w:t>Exhibit C</w:t>
      </w:r>
      <w:r w:rsidRPr="003B31E9">
        <w:rPr>
          <w:rFonts w:ascii="Times New Roman" w:eastAsia="Times New Roman" w:hAnsi="Times New Roman" w:cs="Times New Roman"/>
        </w:rPr>
        <w:t>.</w:t>
      </w:r>
    </w:p>
    <w:p w:rsidR="003B31E9" w:rsidRPr="003B31E9" w:rsidRDefault="003B31E9" w:rsidP="003B31E9">
      <w:pPr>
        <w:tabs>
          <w:tab w:val="left" w:leader="dot" w:pos="2160"/>
        </w:tabs>
        <w:spacing w:line="240" w:lineRule="auto"/>
        <w:ind w:left="2160" w:hanging="2160"/>
        <w:jc w:val="both"/>
        <w:rPr>
          <w:rFonts w:ascii="Times New Roman" w:eastAsia="Times New Roman" w:hAnsi="Times New Roman" w:cs="Times New Roman"/>
        </w:rPr>
      </w:pPr>
    </w:p>
    <w:p w:rsidR="003B31E9" w:rsidRPr="003B31E9" w:rsidRDefault="003B31E9" w:rsidP="003B31E9">
      <w:pPr>
        <w:tabs>
          <w:tab w:val="left" w:leader="dot" w:pos="2160"/>
        </w:tabs>
        <w:spacing w:after="240" w:line="240" w:lineRule="auto"/>
        <w:ind w:left="2160" w:hanging="2160"/>
        <w:jc w:val="both"/>
        <w:rPr>
          <w:rFonts w:ascii="Times New Roman" w:eastAsia="Times New Roman" w:hAnsi="Times New Roman" w:cs="Times New Roman"/>
          <w:color w:val="000000"/>
        </w:rPr>
      </w:pPr>
      <w:r w:rsidRPr="003B31E9">
        <w:rPr>
          <w:rFonts w:ascii="Times New Roman" w:eastAsia="Times New Roman" w:hAnsi="Times New Roman" w:cs="Times New Roman"/>
          <w:b/>
          <w:bCs/>
          <w:color w:val="000000"/>
        </w:rPr>
        <w:t>Closing Date</w:t>
      </w:r>
      <w:r w:rsidRPr="003B31E9">
        <w:rPr>
          <w:rFonts w:ascii="Times New Roman" w:eastAsia="Times New Roman" w:hAnsi="Times New Roman" w:cs="Times New Roman"/>
          <w:bCs/>
          <w:color w:val="000000"/>
        </w:rPr>
        <w:tab/>
        <w:t>On or before October 31</w:t>
      </w:r>
      <w:r w:rsidRPr="003B31E9">
        <w:rPr>
          <w:rFonts w:ascii="Times New Roman" w:eastAsia="Times New Roman" w:hAnsi="Times New Roman" w:cs="Times New Roman"/>
          <w:bCs/>
          <w:color w:val="000000"/>
          <w:vertAlign w:val="superscript"/>
        </w:rPr>
        <w:t>st</w:t>
      </w:r>
      <w:r w:rsidRPr="003B31E9">
        <w:rPr>
          <w:rFonts w:ascii="Times New Roman" w:eastAsia="Times New Roman" w:hAnsi="Times New Roman" w:cs="Times New Roman"/>
          <w:bCs/>
          <w:color w:val="000000"/>
        </w:rPr>
        <w:t>, 2014, with one or more subsequent closings on identical terms and conditions within sixty (60) days of the initial closing</w:t>
      </w:r>
      <w:r w:rsidRPr="003B31E9">
        <w:rPr>
          <w:rFonts w:ascii="Times New Roman" w:eastAsia="Times New Roman" w:hAnsi="Times New Roman" w:cs="Times New Roman"/>
          <w:color w:val="000000"/>
        </w:rPr>
        <w:t>.</w:t>
      </w:r>
    </w:p>
    <w:p w:rsidR="003B31E9" w:rsidRPr="003B31E9" w:rsidRDefault="003B31E9" w:rsidP="003B31E9">
      <w:pPr>
        <w:tabs>
          <w:tab w:val="left" w:leader="dot" w:pos="2160"/>
        </w:tabs>
        <w:spacing w:after="240" w:line="240" w:lineRule="auto"/>
        <w:ind w:left="2160" w:hanging="2160"/>
        <w:jc w:val="both"/>
        <w:rPr>
          <w:rFonts w:ascii="Times New Roman" w:eastAsia="Times New Roman" w:hAnsi="Times New Roman" w:cs="Times New Roman"/>
          <w:color w:val="000000"/>
        </w:rPr>
      </w:pPr>
      <w:r w:rsidRPr="003B31E9">
        <w:rPr>
          <w:rFonts w:ascii="Times New Roman" w:eastAsia="Times New Roman" w:hAnsi="Times New Roman" w:cs="Times New Roman"/>
          <w:b/>
        </w:rPr>
        <w:t>Material Terms</w:t>
      </w:r>
      <w:r w:rsidRPr="003B31E9">
        <w:rPr>
          <w:rFonts w:ascii="Times New Roman" w:eastAsia="Times New Roman" w:hAnsi="Times New Roman" w:cs="Times New Roman"/>
        </w:rPr>
        <w:tab/>
      </w:r>
      <w:r w:rsidRPr="003B31E9">
        <w:rPr>
          <w:rFonts w:ascii="Times New Roman" w:eastAsia="Times New Roman" w:hAnsi="Times New Roman" w:cs="Times New Roman"/>
          <w:color w:val="000000"/>
        </w:rPr>
        <w:t xml:space="preserve">Certain material terms applicable to the Series A Preferred Stock are listed on </w:t>
      </w:r>
      <w:r w:rsidRPr="003B31E9">
        <w:rPr>
          <w:rFonts w:ascii="Times New Roman" w:eastAsia="Times New Roman" w:hAnsi="Times New Roman" w:cs="Times New Roman"/>
          <w:color w:val="000000"/>
          <w:u w:val="single"/>
        </w:rPr>
        <w:t>Exhibit A</w:t>
      </w:r>
      <w:r w:rsidRPr="003B31E9">
        <w:rPr>
          <w:rFonts w:ascii="Times New Roman" w:eastAsia="Times New Roman" w:hAnsi="Times New Roman" w:cs="Times New Roman"/>
          <w:color w:val="000000"/>
        </w:rPr>
        <w:t xml:space="preserve"> hereto. Investors are encouraged to review the Subscription Agreement, Shareholders Agreement, and the Issuer’s Certificate of Incorporation, a copy of which is attached hereto as </w:t>
      </w:r>
      <w:r w:rsidRPr="003B31E9">
        <w:rPr>
          <w:rFonts w:ascii="Times New Roman" w:eastAsia="Times New Roman" w:hAnsi="Times New Roman" w:cs="Times New Roman"/>
          <w:color w:val="000000"/>
          <w:u w:val="single"/>
        </w:rPr>
        <w:t>Exhibit D</w:t>
      </w:r>
      <w:r w:rsidRPr="003B31E9">
        <w:rPr>
          <w:rFonts w:ascii="Times New Roman" w:eastAsia="Times New Roman" w:hAnsi="Times New Roman" w:cs="Times New Roman"/>
          <w:color w:val="000000"/>
        </w:rPr>
        <w:t>, with their respective accountants, legal counsel and investment advisors prior to making any investments in Issuer.</w:t>
      </w:r>
    </w:p>
    <w:p w:rsidR="003B31E9" w:rsidRPr="003B31E9" w:rsidRDefault="003B31E9" w:rsidP="003B31E9">
      <w:pPr>
        <w:spacing w:line="240" w:lineRule="auto"/>
        <w:jc w:val="center"/>
        <w:rPr>
          <w:rFonts w:ascii="Times New Roman" w:eastAsia="Times New Roman" w:hAnsi="Times New Roman" w:cs="Times New Roman"/>
          <w:color w:val="000000"/>
        </w:rPr>
      </w:pPr>
      <w:r w:rsidRPr="003B31E9">
        <w:rPr>
          <w:rFonts w:ascii="Times New Roman" w:eastAsia="Times New Roman" w:hAnsi="Times New Roman" w:cs="Times New Roman"/>
          <w:color w:val="000000"/>
        </w:rPr>
        <w:br w:type="page"/>
      </w:r>
      <w:r w:rsidRPr="003B31E9">
        <w:rPr>
          <w:rFonts w:ascii="Times New Roman" w:eastAsia="Times New Roman" w:hAnsi="Times New Roman" w:cs="Times New Roman"/>
          <w:color w:val="000000"/>
        </w:rPr>
        <w:lastRenderedPageBreak/>
        <w:t>EXHIBIT A</w:t>
      </w:r>
    </w:p>
    <w:p w:rsidR="003B31E9" w:rsidRPr="003B31E9" w:rsidRDefault="003B31E9" w:rsidP="003B31E9">
      <w:pPr>
        <w:spacing w:line="240" w:lineRule="auto"/>
        <w:jc w:val="center"/>
        <w:rPr>
          <w:rFonts w:ascii="Times New Roman" w:eastAsia="Times New Roman" w:hAnsi="Times New Roman" w:cs="Times New Roman"/>
          <w:color w:val="000000"/>
        </w:rPr>
      </w:pPr>
    </w:p>
    <w:p w:rsidR="003B31E9" w:rsidRPr="003B31E9" w:rsidRDefault="003B31E9" w:rsidP="003B31E9">
      <w:pPr>
        <w:spacing w:line="240" w:lineRule="auto"/>
        <w:jc w:val="center"/>
        <w:rPr>
          <w:rFonts w:ascii="Times New Roman" w:eastAsia="Times New Roman" w:hAnsi="Times New Roman" w:cs="Times New Roman"/>
          <w:color w:val="000000"/>
        </w:rPr>
      </w:pPr>
      <w:r w:rsidRPr="003B31E9">
        <w:rPr>
          <w:rFonts w:ascii="Times New Roman" w:eastAsia="Times New Roman" w:hAnsi="Times New Roman" w:cs="Times New Roman"/>
          <w:color w:val="000000"/>
        </w:rPr>
        <w:t>Summary of Material Terms Applicable to Series A Preferred Stock</w:t>
      </w:r>
    </w:p>
    <w:p w:rsidR="003B31E9" w:rsidRPr="003B31E9" w:rsidRDefault="003B31E9" w:rsidP="003B31E9">
      <w:pPr>
        <w:spacing w:line="240" w:lineRule="auto"/>
        <w:jc w:val="both"/>
        <w:rPr>
          <w:rFonts w:ascii="Times New Roman" w:eastAsia="Times New Roman" w:hAnsi="Times New Roman" w:cs="Times New Roman"/>
          <w:color w:val="000000"/>
        </w:rPr>
      </w:pPr>
    </w:p>
    <w:p w:rsidR="003B31E9" w:rsidRPr="003B31E9" w:rsidRDefault="003B31E9" w:rsidP="003B31E9">
      <w:pPr>
        <w:spacing w:line="240" w:lineRule="auto"/>
        <w:jc w:val="both"/>
        <w:rPr>
          <w:rFonts w:ascii="Times New Roman" w:eastAsia="Times New Roman" w:hAnsi="Times New Roman" w:cs="Times New Roman"/>
          <w:color w:val="000000"/>
        </w:rPr>
      </w:pPr>
      <w:r w:rsidRPr="003B31E9">
        <w:rPr>
          <w:rFonts w:ascii="Times New Roman" w:eastAsia="Times New Roman" w:hAnsi="Times New Roman" w:cs="Times New Roman"/>
          <w:color w:val="000000"/>
        </w:rPr>
        <w:t>The following is not meant to be comprehensive, and Investors are encouraged to review the Issuer’s Certificate of Incorporation, Subscription Agreement and Shareholders Agreement thoroughly before making any investment in the Issuer.</w:t>
      </w:r>
    </w:p>
    <w:p w:rsidR="003B31E9" w:rsidRPr="003B31E9" w:rsidRDefault="003B31E9" w:rsidP="003B31E9">
      <w:pPr>
        <w:spacing w:line="240" w:lineRule="auto"/>
        <w:jc w:val="both"/>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3B31E9" w:rsidRPr="003B31E9" w:rsidTr="00274041">
        <w:tc>
          <w:tcPr>
            <w:tcW w:w="2898" w:type="dxa"/>
            <w:shd w:val="clear" w:color="auto" w:fill="auto"/>
          </w:tcPr>
          <w:p w:rsidR="003B31E9" w:rsidRPr="003B31E9" w:rsidRDefault="003B31E9" w:rsidP="003B31E9">
            <w:pPr>
              <w:spacing w:line="240" w:lineRule="auto"/>
              <w:rPr>
                <w:rFonts w:ascii="Times New Roman" w:eastAsia="Times New Roman" w:hAnsi="Times New Roman" w:cs="Times New Roman"/>
                <w:b/>
                <w:color w:val="000000"/>
              </w:rPr>
            </w:pPr>
            <w:r w:rsidRPr="003B31E9">
              <w:rPr>
                <w:rFonts w:ascii="Times New Roman" w:eastAsia="Times New Roman" w:hAnsi="Times New Roman" w:cs="Times New Roman"/>
                <w:b/>
                <w:color w:val="000000"/>
              </w:rPr>
              <w:t>Topic</w:t>
            </w:r>
          </w:p>
        </w:tc>
        <w:tc>
          <w:tcPr>
            <w:tcW w:w="6678" w:type="dxa"/>
            <w:shd w:val="clear" w:color="auto" w:fill="auto"/>
          </w:tcPr>
          <w:p w:rsidR="003B31E9" w:rsidRPr="003B31E9" w:rsidRDefault="003B31E9" w:rsidP="003B31E9">
            <w:pPr>
              <w:spacing w:line="240" w:lineRule="auto"/>
              <w:rPr>
                <w:rFonts w:ascii="Times New Roman" w:eastAsia="Times New Roman" w:hAnsi="Times New Roman" w:cs="Times New Roman"/>
                <w:b/>
                <w:color w:val="000000"/>
              </w:rPr>
            </w:pPr>
            <w:r w:rsidRPr="003B31E9">
              <w:rPr>
                <w:rFonts w:ascii="Times New Roman" w:eastAsia="Times New Roman" w:hAnsi="Times New Roman" w:cs="Times New Roman"/>
                <w:b/>
                <w:color w:val="000000"/>
              </w:rPr>
              <w:t>Summary of Terms</w:t>
            </w:r>
          </w:p>
        </w:tc>
      </w:tr>
      <w:tr w:rsidR="003B31E9" w:rsidRPr="003B31E9" w:rsidTr="00274041">
        <w:tc>
          <w:tcPr>
            <w:tcW w:w="289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Minimum Investment</w:t>
            </w:r>
          </w:p>
        </w:tc>
        <w:tc>
          <w:tcPr>
            <w:tcW w:w="667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The minimum investment in this Transaction is $25,000.00 (1,000 shares of Series A Preferred Stock (“Preferred Stock”))</w:t>
            </w:r>
          </w:p>
          <w:p w:rsidR="003B31E9" w:rsidRPr="003B31E9" w:rsidRDefault="003B31E9" w:rsidP="003B31E9">
            <w:pPr>
              <w:spacing w:line="240" w:lineRule="auto"/>
              <w:rPr>
                <w:rFonts w:ascii="Times New Roman" w:eastAsia="Times New Roman" w:hAnsi="Times New Roman" w:cs="Times New Roman"/>
                <w:color w:val="000000"/>
              </w:rPr>
            </w:pPr>
          </w:p>
        </w:tc>
      </w:tr>
      <w:tr w:rsidR="003B31E9" w:rsidRPr="003B31E9" w:rsidTr="00274041">
        <w:tc>
          <w:tcPr>
            <w:tcW w:w="289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Dividends</w:t>
            </w:r>
          </w:p>
        </w:tc>
        <w:tc>
          <w:tcPr>
            <w:tcW w:w="667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Preferred Stock will accrue dividends as set forth in the Issuer’s Certificate of Incorporation (“COI”), which will be payable as set forth in the COI.</w:t>
            </w:r>
          </w:p>
          <w:p w:rsidR="003B31E9" w:rsidRPr="003B31E9" w:rsidRDefault="003B31E9" w:rsidP="003B31E9">
            <w:pPr>
              <w:spacing w:line="240" w:lineRule="auto"/>
              <w:rPr>
                <w:rFonts w:ascii="Times New Roman" w:eastAsia="Times New Roman" w:hAnsi="Times New Roman" w:cs="Times New Roman"/>
                <w:color w:val="000000"/>
              </w:rPr>
            </w:pPr>
          </w:p>
        </w:tc>
      </w:tr>
      <w:tr w:rsidR="003B31E9" w:rsidRPr="003B31E9" w:rsidTr="00274041">
        <w:tc>
          <w:tcPr>
            <w:tcW w:w="289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Voting Rights</w:t>
            </w:r>
          </w:p>
        </w:tc>
        <w:tc>
          <w:tcPr>
            <w:tcW w:w="667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Holders of Preferred Stock are entitled to one vote per share of Preferred Stock, voting together with the holders of the Issuer’s common stock, $0.001 par value (the “Common Stock”) on all matters that come before the shareholders.</w:t>
            </w:r>
          </w:p>
          <w:p w:rsidR="003B31E9" w:rsidRPr="003B31E9" w:rsidRDefault="003B31E9" w:rsidP="003B31E9">
            <w:pPr>
              <w:spacing w:line="240" w:lineRule="auto"/>
              <w:rPr>
                <w:rFonts w:ascii="Times New Roman" w:eastAsia="Times New Roman" w:hAnsi="Times New Roman" w:cs="Times New Roman"/>
                <w:color w:val="000000"/>
              </w:rPr>
            </w:pPr>
          </w:p>
        </w:tc>
      </w:tr>
      <w:tr w:rsidR="003B31E9" w:rsidRPr="003B31E9" w:rsidTr="00274041">
        <w:tc>
          <w:tcPr>
            <w:tcW w:w="289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Board of Directors</w:t>
            </w:r>
          </w:p>
        </w:tc>
        <w:tc>
          <w:tcPr>
            <w:tcW w:w="667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The Issuer’s Board of Directors is currently set at one (1) director, and Alexandra Holland, the Issuer’s Chief Executive Officer, is currently the sole director.  The Issuer currently has no plans to increase the size of the Board of Directors, although the size of the Board of Directors may be increased at any time upon requisite vote of the shareholders.</w:t>
            </w:r>
          </w:p>
          <w:p w:rsidR="003B31E9" w:rsidRPr="003B31E9" w:rsidRDefault="003B31E9" w:rsidP="003B31E9">
            <w:pPr>
              <w:spacing w:line="240" w:lineRule="auto"/>
              <w:rPr>
                <w:rFonts w:ascii="Times New Roman" w:eastAsia="Times New Roman" w:hAnsi="Times New Roman" w:cs="Times New Roman"/>
                <w:color w:val="000000"/>
              </w:rPr>
            </w:pPr>
          </w:p>
        </w:tc>
      </w:tr>
      <w:tr w:rsidR="003B31E9" w:rsidRPr="003B31E9" w:rsidTr="00274041">
        <w:tc>
          <w:tcPr>
            <w:tcW w:w="289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Majority Shareholder</w:t>
            </w:r>
          </w:p>
        </w:tc>
        <w:tc>
          <w:tcPr>
            <w:tcW w:w="667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Alexandra Holland is the current sole shareholder of the Issuer, holding 80,000 shares of Common Stock and will continue to own a majority of the Issuer’s shares of capital stock following the closing of the Transaction.</w:t>
            </w:r>
          </w:p>
          <w:p w:rsidR="003B31E9" w:rsidRPr="003B31E9" w:rsidRDefault="003B31E9" w:rsidP="003B31E9">
            <w:pPr>
              <w:spacing w:line="240" w:lineRule="auto"/>
              <w:rPr>
                <w:rFonts w:ascii="Times New Roman" w:eastAsia="Times New Roman" w:hAnsi="Times New Roman" w:cs="Times New Roman"/>
                <w:color w:val="000000"/>
              </w:rPr>
            </w:pPr>
          </w:p>
        </w:tc>
      </w:tr>
      <w:tr w:rsidR="003B31E9" w:rsidRPr="003B31E9" w:rsidTr="00274041">
        <w:tc>
          <w:tcPr>
            <w:tcW w:w="289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Transferability</w:t>
            </w:r>
          </w:p>
        </w:tc>
        <w:tc>
          <w:tcPr>
            <w:tcW w:w="667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There is no public market for the Common Stock or Preferred Stock, and the shares are subject to restrictions on transfer as set forth in the Shareholders Agreement.</w:t>
            </w:r>
          </w:p>
          <w:p w:rsidR="003B31E9" w:rsidRPr="003B31E9" w:rsidRDefault="003B31E9" w:rsidP="003B31E9">
            <w:pPr>
              <w:spacing w:line="240" w:lineRule="auto"/>
              <w:rPr>
                <w:rFonts w:ascii="Times New Roman" w:eastAsia="Times New Roman" w:hAnsi="Times New Roman" w:cs="Times New Roman"/>
                <w:color w:val="000000"/>
              </w:rPr>
            </w:pPr>
          </w:p>
        </w:tc>
      </w:tr>
      <w:tr w:rsidR="003B31E9" w:rsidRPr="003B31E9" w:rsidTr="00274041">
        <w:tc>
          <w:tcPr>
            <w:tcW w:w="289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Right of First Refusal</w:t>
            </w:r>
          </w:p>
        </w:tc>
        <w:tc>
          <w:tcPr>
            <w:tcW w:w="667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Potential sales of Common Stock and Preferred Stock are subject to a right of first refusal in favor of the Issuer and the other shareholders, as set forth in the Shareholders Agreement.</w:t>
            </w:r>
          </w:p>
          <w:p w:rsidR="003B31E9" w:rsidRPr="003B31E9" w:rsidRDefault="003B31E9" w:rsidP="003B31E9">
            <w:pPr>
              <w:spacing w:line="240" w:lineRule="auto"/>
              <w:rPr>
                <w:rFonts w:ascii="Times New Roman" w:eastAsia="Times New Roman" w:hAnsi="Times New Roman" w:cs="Times New Roman"/>
                <w:color w:val="000000"/>
              </w:rPr>
            </w:pPr>
          </w:p>
        </w:tc>
      </w:tr>
      <w:tr w:rsidR="003B31E9" w:rsidRPr="003B31E9" w:rsidTr="00274041">
        <w:tc>
          <w:tcPr>
            <w:tcW w:w="289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Mandatory Sale</w:t>
            </w:r>
          </w:p>
        </w:tc>
        <w:tc>
          <w:tcPr>
            <w:tcW w:w="667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 xml:space="preserve">If the holders of a majority of the outstanding shares of Common Stock and Preferred Stock approve certain change of control transactions with an independent third party, all other shareholders are required to consent to vote all of their shares of voting </w:t>
            </w:r>
            <w:r w:rsidRPr="003B31E9">
              <w:rPr>
                <w:rFonts w:ascii="Times New Roman" w:eastAsia="Times New Roman" w:hAnsi="Times New Roman" w:cs="Times New Roman"/>
                <w:color w:val="000000"/>
              </w:rPr>
              <w:lastRenderedPageBreak/>
              <w:t>securities in favor of such transaction (including waiving appraisal or other rights they may have), as more fully set forth in the Shareholders Agreement.</w:t>
            </w:r>
          </w:p>
          <w:p w:rsidR="003B31E9" w:rsidRPr="003B31E9" w:rsidRDefault="003B31E9" w:rsidP="003B31E9">
            <w:pPr>
              <w:spacing w:line="240" w:lineRule="auto"/>
              <w:rPr>
                <w:rFonts w:ascii="Times New Roman" w:eastAsia="Times New Roman" w:hAnsi="Times New Roman" w:cs="Times New Roman"/>
                <w:color w:val="000000"/>
              </w:rPr>
            </w:pPr>
          </w:p>
        </w:tc>
      </w:tr>
      <w:tr w:rsidR="003B31E9" w:rsidRPr="003B31E9" w:rsidTr="00274041">
        <w:tc>
          <w:tcPr>
            <w:tcW w:w="289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lastRenderedPageBreak/>
              <w:t>Entity Conversion</w:t>
            </w:r>
          </w:p>
        </w:tc>
        <w:tc>
          <w:tcPr>
            <w:tcW w:w="667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The Issuer may, for tax purposes, elect to the convert the Issuer from its current corporate form into a limited liability company, upon the terms set forth in the Shareholders Agreement. By executing the Shareholders Agreement, Investors agree to such a conversion.</w:t>
            </w:r>
          </w:p>
          <w:p w:rsidR="003B31E9" w:rsidRPr="003B31E9" w:rsidRDefault="003B31E9" w:rsidP="003B31E9">
            <w:pPr>
              <w:spacing w:line="240" w:lineRule="auto"/>
              <w:rPr>
                <w:rFonts w:ascii="Times New Roman" w:eastAsia="Times New Roman" w:hAnsi="Times New Roman" w:cs="Times New Roman"/>
                <w:color w:val="000000"/>
              </w:rPr>
            </w:pPr>
          </w:p>
        </w:tc>
      </w:tr>
      <w:tr w:rsidR="003B31E9" w:rsidRPr="003B31E9" w:rsidTr="00274041">
        <w:tc>
          <w:tcPr>
            <w:tcW w:w="289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Non-Solicitation</w:t>
            </w:r>
          </w:p>
        </w:tc>
        <w:tc>
          <w:tcPr>
            <w:tcW w:w="667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The Shareholders Agreement contains a covenant, applicable to all shareholders, not to solicit customers or employees of the Issuer, among other parties, so long as such shareholder is a shareholder of the Issuer, and for a period of one (1) year thereafter.</w:t>
            </w:r>
          </w:p>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 xml:space="preserve"> </w:t>
            </w:r>
          </w:p>
        </w:tc>
      </w:tr>
      <w:tr w:rsidR="003B31E9" w:rsidRPr="003B31E9" w:rsidTr="00274041">
        <w:tc>
          <w:tcPr>
            <w:tcW w:w="289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Confidentiality</w:t>
            </w:r>
          </w:p>
        </w:tc>
        <w:tc>
          <w:tcPr>
            <w:tcW w:w="667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All shareholders are required to maintain the confidentiality of the Company’s Proprietary Information (as defined in the Shareholders Agreement), so long as they are a shareholder of the Issuer and for a period of five (5) years thereafter.</w:t>
            </w:r>
          </w:p>
          <w:p w:rsidR="003B31E9" w:rsidRPr="003B31E9" w:rsidRDefault="003B31E9" w:rsidP="003B31E9">
            <w:pPr>
              <w:spacing w:line="240" w:lineRule="auto"/>
              <w:rPr>
                <w:rFonts w:ascii="Times New Roman" w:eastAsia="Times New Roman" w:hAnsi="Times New Roman" w:cs="Times New Roman"/>
                <w:color w:val="000000"/>
              </w:rPr>
            </w:pPr>
          </w:p>
        </w:tc>
      </w:tr>
      <w:tr w:rsidR="003B31E9" w:rsidRPr="003B31E9" w:rsidTr="00274041">
        <w:tc>
          <w:tcPr>
            <w:tcW w:w="289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Issuances of Additional Stock</w:t>
            </w:r>
          </w:p>
        </w:tc>
        <w:tc>
          <w:tcPr>
            <w:tcW w:w="6678" w:type="dxa"/>
            <w:shd w:val="clear" w:color="auto" w:fill="auto"/>
          </w:tcPr>
          <w:p w:rsidR="003B31E9" w:rsidRPr="003B31E9" w:rsidRDefault="003B31E9" w:rsidP="003B31E9">
            <w:pPr>
              <w:spacing w:line="240" w:lineRule="auto"/>
              <w:rPr>
                <w:rFonts w:ascii="Times New Roman" w:eastAsia="Times New Roman" w:hAnsi="Times New Roman" w:cs="Times New Roman"/>
                <w:color w:val="000000"/>
              </w:rPr>
            </w:pPr>
            <w:r w:rsidRPr="003B31E9">
              <w:rPr>
                <w:rFonts w:ascii="Times New Roman" w:eastAsia="Times New Roman" w:hAnsi="Times New Roman" w:cs="Times New Roman"/>
                <w:color w:val="000000"/>
              </w:rPr>
              <w:t>The Issuer’s Board of Directors may, at any time, authorize additional issuances of its capital stock with rights and preferences that are senior to the Common Stock and Preferred Stock. No shareholder has any preemptive or anti-dilution rights with respect to such issuances.</w:t>
            </w:r>
          </w:p>
        </w:tc>
      </w:tr>
    </w:tbl>
    <w:p w:rsidR="003B31E9" w:rsidRPr="003B31E9" w:rsidRDefault="003B31E9" w:rsidP="003B31E9">
      <w:pPr>
        <w:rPr>
          <w:rFonts w:ascii="Times New Roman" w:eastAsia="Times New Roman" w:hAnsi="Times New Roman" w:cs="Times New Roman"/>
          <w:color w:val="000000"/>
        </w:rPr>
      </w:pPr>
    </w:p>
    <w:p w:rsidR="003B31E9" w:rsidRPr="003B31E9" w:rsidRDefault="003B31E9" w:rsidP="003B31E9">
      <w:pPr>
        <w:rPr>
          <w:rFonts w:ascii="Times New Roman" w:eastAsia="Times New Roman" w:hAnsi="Times New Roman" w:cs="Times New Roman"/>
        </w:rPr>
      </w:pPr>
    </w:p>
    <w:p w:rsidR="003B31E9" w:rsidRPr="003B31E9" w:rsidRDefault="003B31E9" w:rsidP="003B31E9">
      <w:pPr>
        <w:rPr>
          <w:rFonts w:ascii="Times New Roman" w:eastAsia="Times New Roman" w:hAnsi="Times New Roman" w:cs="Times New Roman"/>
          <w:b/>
        </w:rPr>
      </w:pPr>
      <w:r w:rsidRPr="003B31E9">
        <w:rPr>
          <w:rFonts w:ascii="Times New Roman" w:eastAsia="Times New Roman" w:hAnsi="Times New Roman" w:cs="Times New Roman"/>
          <w:b/>
        </w:rPr>
        <w:t xml:space="preserve">Seed-stage valuation </w:t>
      </w:r>
    </w:p>
    <w:p w:rsidR="003B31E9" w:rsidRPr="003B31E9" w:rsidRDefault="003B31E9" w:rsidP="003B31E9">
      <w:pPr>
        <w:rPr>
          <w:rFonts w:ascii="Times New Roman" w:eastAsia="Times New Roman" w:hAnsi="Times New Roman" w:cs="Times New Roman"/>
          <w:b/>
        </w:rPr>
      </w:pPr>
    </w:p>
    <w:p w:rsidR="003B31E9" w:rsidRPr="003B31E9" w:rsidRDefault="003B31E9" w:rsidP="003B31E9">
      <w:pPr>
        <w:rPr>
          <w:rFonts w:ascii="Times New Roman" w:eastAsia="Times New Roman" w:hAnsi="Times New Roman" w:cs="Times New Roman"/>
        </w:rPr>
      </w:pPr>
      <w:r w:rsidRPr="003B31E9">
        <w:rPr>
          <w:rFonts w:ascii="Calibri" w:eastAsia="Calibri" w:hAnsi="Calibri" w:cs="Times New Roman"/>
          <w:noProof/>
          <w:sz w:val="22"/>
          <w:szCs w:val="22"/>
        </w:rPr>
        <w:drawing>
          <wp:inline distT="0" distB="0" distL="0" distR="0" wp14:anchorId="3D1D8B82" wp14:editId="317DDD22">
            <wp:extent cx="29622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771525"/>
                    </a:xfrm>
                    <a:prstGeom prst="rect">
                      <a:avLst/>
                    </a:prstGeom>
                    <a:noFill/>
                    <a:ln>
                      <a:noFill/>
                    </a:ln>
                  </pic:spPr>
                </pic:pic>
              </a:graphicData>
            </a:graphic>
          </wp:inline>
        </w:drawing>
      </w:r>
    </w:p>
    <w:p w:rsidR="003B31E9" w:rsidRPr="003B31E9" w:rsidRDefault="003B31E9" w:rsidP="003B31E9">
      <w:pPr>
        <w:rPr>
          <w:rFonts w:ascii="Times New Roman" w:eastAsia="Times New Roman" w:hAnsi="Times New Roman" w:cs="Times New Roman"/>
        </w:rPr>
      </w:pPr>
    </w:p>
    <w:p w:rsidR="003B31E9" w:rsidRPr="003B31E9" w:rsidRDefault="003B31E9" w:rsidP="003B31E9">
      <w:pPr>
        <w:rPr>
          <w:rFonts w:ascii="Times New Roman" w:eastAsia="Times New Roman" w:hAnsi="Times New Roman" w:cs="Times New Roman"/>
        </w:rPr>
      </w:pPr>
      <w:r w:rsidRPr="003B31E9">
        <w:rPr>
          <w:rFonts w:ascii="Times New Roman" w:eastAsia="Times New Roman" w:hAnsi="Times New Roman" w:cs="Times New Roman"/>
        </w:rPr>
        <w:t>Where “Preferred Stocks” are “Series A Preferred Stocks”</w:t>
      </w:r>
    </w:p>
    <w:p w:rsidR="003B31E9" w:rsidRPr="003B31E9" w:rsidRDefault="003B31E9" w:rsidP="003B31E9">
      <w:pPr>
        <w:rPr>
          <w:rFonts w:ascii="Times New Roman" w:eastAsia="Times New Roman" w:hAnsi="Times New Roman" w:cs="Times New Roman"/>
        </w:rPr>
      </w:pPr>
    </w:p>
    <w:p w:rsidR="003B31E9" w:rsidRPr="003B31E9" w:rsidRDefault="003B31E9" w:rsidP="003B31E9">
      <w:pPr>
        <w:rPr>
          <w:rFonts w:ascii="Times New Roman" w:eastAsia="Times New Roman" w:hAnsi="Times New Roman" w:cs="Times New Roman"/>
          <w:b/>
        </w:rPr>
      </w:pPr>
      <w:r w:rsidRPr="003B31E9">
        <w:rPr>
          <w:rFonts w:ascii="Times New Roman" w:eastAsia="Times New Roman" w:hAnsi="Times New Roman" w:cs="Times New Roman"/>
          <w:b/>
        </w:rPr>
        <w:t>Dividend structure</w:t>
      </w:r>
    </w:p>
    <w:p w:rsidR="003B31E9" w:rsidRPr="003B31E9" w:rsidRDefault="003B31E9" w:rsidP="003B31E9">
      <w:pPr>
        <w:rPr>
          <w:rFonts w:ascii="Times New Roman" w:eastAsia="Times New Roman" w:hAnsi="Times New Roman" w:cs="Times New Roman"/>
          <w:b/>
        </w:rPr>
      </w:pPr>
    </w:p>
    <w:p w:rsidR="00C72226" w:rsidRDefault="003B31E9" w:rsidP="003B31E9">
      <w:r w:rsidRPr="003B31E9">
        <w:rPr>
          <w:rFonts w:ascii="Times New Roman" w:eastAsia="Times New Roman" w:hAnsi="Times New Roman" w:cs="Times New Roman"/>
        </w:rPr>
        <w:t>Please refer to the Section 3A of the business plan.</w:t>
      </w:r>
    </w:p>
    <w:sectPr w:rsidR="00C722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25" w:rsidRDefault="00DE5A25" w:rsidP="00C72226">
      <w:pPr>
        <w:spacing w:line="240" w:lineRule="auto"/>
      </w:pPr>
      <w:r>
        <w:separator/>
      </w:r>
    </w:p>
  </w:endnote>
  <w:endnote w:type="continuationSeparator" w:id="0">
    <w:p w:rsidR="00DE5A25" w:rsidRDefault="00DE5A25" w:rsidP="00C72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E9" w:rsidRPr="00374C53" w:rsidRDefault="003B31E9" w:rsidP="00E36E0E">
    <w:pPr>
      <w:pStyle w:val="Footer1"/>
      <w:jc w:val="center"/>
      <w:rPr>
        <w:rFonts w:ascii="Leelawadee" w:hAnsi="Leelawadee" w:cs="Leelawadee"/>
        <w:lang w:val="en-US"/>
      </w:rPr>
    </w:pPr>
    <w:r w:rsidRPr="00374C53">
      <w:rPr>
        <w:rFonts w:ascii="Leelawadee" w:hAnsi="Leelawadee" w:cs="Leelawadee"/>
        <w:noProof/>
        <w:color w:val="538135" w:themeColor="accent6" w:themeShade="BF"/>
        <w:sz w:val="32"/>
        <w:szCs w:val="32"/>
        <w:lang w:val="en-US"/>
      </w:rPr>
      <w:drawing>
        <wp:anchor distT="0" distB="0" distL="114300" distR="114300" simplePos="0" relativeHeight="251659264" behindDoc="0" locked="0" layoutInCell="1" allowOverlap="1" wp14:anchorId="388C31DE" wp14:editId="7561E8F0">
          <wp:simplePos x="0" y="0"/>
          <wp:positionH relativeFrom="margin">
            <wp:align>right</wp:align>
          </wp:positionH>
          <wp:positionV relativeFrom="paragraph">
            <wp:posOffset>-219075</wp:posOffset>
          </wp:positionV>
          <wp:extent cx="834114" cy="495300"/>
          <wp:effectExtent l="0" t="0" r="4445"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34114" cy="495300"/>
                  </a:xfrm>
                  <a:prstGeom prst="rect">
                    <a:avLst/>
                  </a:prstGeom>
                </pic:spPr>
              </pic:pic>
            </a:graphicData>
          </a:graphic>
          <wp14:sizeRelH relativeFrom="margin">
            <wp14:pctWidth>0</wp14:pctWidth>
          </wp14:sizeRelH>
          <wp14:sizeRelV relativeFrom="margin">
            <wp14:pctHeight>0</wp14:pctHeight>
          </wp14:sizeRelV>
        </wp:anchor>
      </w:drawing>
    </w:r>
    <w:r>
      <w:rPr>
        <w:rFonts w:ascii="Leelawadee" w:hAnsi="Leelawadee" w:cs="Leelawadee"/>
        <w:lang w:val="en-US"/>
      </w:rPr>
      <w:t>PIARCS’ Terms of the offering</w:t>
    </w:r>
    <w:r w:rsidRPr="00374C53">
      <w:rPr>
        <w:rFonts w:ascii="Leelawadee" w:hAnsi="Leelawadee" w:cs="Leelawadee"/>
        <w:lang w:val="en-US"/>
      </w:rPr>
      <w:t xml:space="preserve"> p. </w:t>
    </w:r>
    <w:r>
      <w:rPr>
        <w:rFonts w:ascii="Leelawadee" w:hAnsi="Leelawadee" w:cs="Leelawadee"/>
        <w:lang w:val="en-US"/>
      </w:rPr>
      <w:fldChar w:fldCharType="begin"/>
    </w:r>
    <w:r>
      <w:rPr>
        <w:rFonts w:ascii="Leelawadee" w:hAnsi="Leelawadee" w:cs="Leelawadee"/>
        <w:lang w:val="en-US"/>
      </w:rPr>
      <w:instrText xml:space="preserve"> PAGE  \* Arabic  \* MERGEFORMAT </w:instrText>
    </w:r>
    <w:r>
      <w:rPr>
        <w:rFonts w:ascii="Leelawadee" w:hAnsi="Leelawadee" w:cs="Leelawadee"/>
        <w:lang w:val="en-US"/>
      </w:rPr>
      <w:fldChar w:fldCharType="separate"/>
    </w:r>
    <w:r w:rsidR="009F103D">
      <w:rPr>
        <w:rFonts w:ascii="Leelawadee" w:hAnsi="Leelawadee" w:cs="Leelawadee"/>
        <w:noProof/>
        <w:lang w:val="en-US"/>
      </w:rPr>
      <w:t>2</w:t>
    </w:r>
    <w:r>
      <w:rPr>
        <w:rFonts w:ascii="Leelawadee" w:hAnsi="Leelawadee" w:cs="Leelawadee"/>
        <w:lang w:val="en-US"/>
      </w:rPr>
      <w:fldChar w:fldCharType="end"/>
    </w:r>
    <w:r w:rsidRPr="00374C53">
      <w:rPr>
        <w:rFonts w:ascii="Leelawadee" w:hAnsi="Leelawadee" w:cs="Leelawadee"/>
        <w:lang w:val="en-US"/>
      </w:rPr>
      <w:t>/</w:t>
    </w:r>
    <w:r>
      <w:rPr>
        <w:rFonts w:ascii="Leelawadee" w:hAnsi="Leelawadee" w:cs="Leelawadee"/>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25" w:rsidRDefault="00DE5A25" w:rsidP="00C72226">
      <w:pPr>
        <w:spacing w:line="240" w:lineRule="auto"/>
      </w:pPr>
      <w:r>
        <w:separator/>
      </w:r>
    </w:p>
  </w:footnote>
  <w:footnote w:type="continuationSeparator" w:id="0">
    <w:p w:rsidR="00DE5A25" w:rsidRDefault="00DE5A25" w:rsidP="00C72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E9" w:rsidRPr="003D6357" w:rsidRDefault="003B31E9" w:rsidP="00F23DAC">
    <w:pPr>
      <w:pStyle w:val="Header1"/>
      <w:tabs>
        <w:tab w:val="clear" w:pos="4680"/>
        <w:tab w:val="clear" w:pos="9360"/>
        <w:tab w:val="left" w:pos="4320"/>
        <w:tab w:val="left" w:pos="8599"/>
      </w:tabs>
      <w:rPr>
        <w:rFonts w:ascii="Leelawadee" w:hAnsi="Leelawadee" w:cs="Leelawadee"/>
        <w:lang w:val="en-US"/>
      </w:rPr>
    </w:pPr>
    <w:r>
      <w:rPr>
        <w:rFonts w:ascii="Leelawadee" w:hAnsi="Leelawadee" w:cs="Leelawadee"/>
        <w:noProof/>
        <w:lang w:val="en-US"/>
      </w:rPr>
      <w:drawing>
        <wp:anchor distT="0" distB="0" distL="114300" distR="114300" simplePos="0" relativeHeight="251660288" behindDoc="0" locked="0" layoutInCell="1" allowOverlap="1" wp14:anchorId="7433828A" wp14:editId="7723EEC7">
          <wp:simplePos x="0" y="0"/>
          <wp:positionH relativeFrom="margin">
            <wp:posOffset>5175106</wp:posOffset>
          </wp:positionH>
          <wp:positionV relativeFrom="paragraph">
            <wp:posOffset>-292735</wp:posOffset>
          </wp:positionV>
          <wp:extent cx="724619" cy="747767"/>
          <wp:effectExtent l="0" t="0" r="0" b="0"/>
          <wp:wrapNone/>
          <wp:docPr id="4" name="Picture 4" descr="C:\Users\alexandra\Desktop\Picture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Desktop\Picture5.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619" cy="7477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6357">
      <w:rPr>
        <w:rFonts w:ascii="Leelawadee" w:hAnsi="Leelawadee" w:cs="Leelawadee"/>
        <w:lang w:val="en-US"/>
      </w:rPr>
      <w:t>Alexandra D. Holland, PhD</w:t>
    </w:r>
  </w:p>
  <w:p w:rsidR="003B31E9" w:rsidRPr="003D6357" w:rsidRDefault="003B31E9" w:rsidP="00F23DAC">
    <w:pPr>
      <w:pStyle w:val="Header1"/>
      <w:tabs>
        <w:tab w:val="clear" w:pos="4680"/>
        <w:tab w:val="clear" w:pos="9360"/>
        <w:tab w:val="left" w:pos="4320"/>
        <w:tab w:val="left" w:pos="8599"/>
      </w:tabs>
      <w:rPr>
        <w:rFonts w:ascii="Leelawadee" w:hAnsi="Leelawadee" w:cs="Leelawadee"/>
        <w:lang w:val="en-US"/>
      </w:rPr>
    </w:pPr>
    <w:r w:rsidRPr="003D6357">
      <w:rPr>
        <w:rFonts w:ascii="Leelawadee" w:hAnsi="Leelawadee" w:cs="Leelawadee"/>
        <w:lang w:val="en-US"/>
      </w:rPr>
      <w:t>Founder and CEO</w:t>
    </w:r>
    <w:r w:rsidRPr="003D6357">
      <w:rPr>
        <w:rFonts w:ascii="Leelawadee" w:hAnsi="Leelawadee" w:cs="Leelawadee"/>
        <w:lang w:val="en-US"/>
      </w:rPr>
      <w:tab/>
    </w:r>
    <w:r w:rsidRPr="003D6357">
      <w:rPr>
        <w:rFonts w:ascii="Leelawadee" w:hAnsi="Leelawadee" w:cs="Leelawadee"/>
        <w:lang w:val="en-US"/>
      </w:rPr>
      <w:tab/>
    </w:r>
  </w:p>
  <w:p w:rsidR="003B31E9" w:rsidRPr="000F2754" w:rsidRDefault="003B31E9">
    <w:pPr>
      <w:pStyle w:val="Header1"/>
      <w:rPr>
        <w:rFonts w:ascii="Leelawadee" w:hAnsi="Leelawadee" w:cs="Leelawadee"/>
      </w:rPr>
    </w:pPr>
    <w:r w:rsidRPr="000F2754">
      <w:rPr>
        <w:rFonts w:ascii="Leelawadee" w:hAnsi="Leelawadee" w:cs="Leelawadee"/>
      </w:rPr>
      <w:t>holland@piarcs.org</w:t>
    </w:r>
  </w:p>
  <w:p w:rsidR="003B31E9" w:rsidRPr="000F2754" w:rsidRDefault="003B31E9">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E0"/>
    <w:rsid w:val="002376BA"/>
    <w:rsid w:val="003B31E9"/>
    <w:rsid w:val="004327CC"/>
    <w:rsid w:val="004C47E4"/>
    <w:rsid w:val="006D7E04"/>
    <w:rsid w:val="00705D08"/>
    <w:rsid w:val="007F6133"/>
    <w:rsid w:val="009F103D"/>
    <w:rsid w:val="00A079D6"/>
    <w:rsid w:val="00A91700"/>
    <w:rsid w:val="00C328E0"/>
    <w:rsid w:val="00C72226"/>
    <w:rsid w:val="00C75172"/>
    <w:rsid w:val="00CA06F8"/>
    <w:rsid w:val="00D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2226"/>
    <w:pPr>
      <w:spacing w:line="240" w:lineRule="auto"/>
    </w:pPr>
    <w:rPr>
      <w:sz w:val="20"/>
      <w:szCs w:val="20"/>
    </w:rPr>
  </w:style>
  <w:style w:type="character" w:customStyle="1" w:styleId="FootnoteTextChar">
    <w:name w:val="Footnote Text Char"/>
    <w:basedOn w:val="DefaultParagraphFont"/>
    <w:link w:val="FootnoteText"/>
    <w:uiPriority w:val="99"/>
    <w:semiHidden/>
    <w:rsid w:val="00C72226"/>
    <w:rPr>
      <w:sz w:val="20"/>
      <w:szCs w:val="20"/>
    </w:rPr>
  </w:style>
  <w:style w:type="character" w:styleId="FootnoteReference">
    <w:name w:val="footnote reference"/>
    <w:semiHidden/>
    <w:rsid w:val="00C72226"/>
    <w:rPr>
      <w:spacing w:val="0"/>
      <w:vertAlign w:val="superscript"/>
    </w:rPr>
  </w:style>
  <w:style w:type="character" w:styleId="CommentReference">
    <w:name w:val="annotation reference"/>
    <w:aliases w:val="Style 16"/>
    <w:semiHidden/>
    <w:rsid w:val="00C72226"/>
    <w:rPr>
      <w:rFonts w:cs="Times New Roman"/>
      <w:sz w:val="16"/>
      <w:szCs w:val="16"/>
    </w:rPr>
  </w:style>
  <w:style w:type="paragraph" w:styleId="CommentText">
    <w:name w:val="annotation text"/>
    <w:aliases w:val="Style 18"/>
    <w:basedOn w:val="Normal"/>
    <w:link w:val="CommentTextChar"/>
    <w:semiHidden/>
    <w:rsid w:val="00C72226"/>
    <w:pPr>
      <w:spacing w:after="120" w:line="240" w:lineRule="auto"/>
      <w:jc w:val="both"/>
    </w:pPr>
    <w:rPr>
      <w:rFonts w:ascii="Times New Roman" w:eastAsia="Times New Roman" w:hAnsi="Times New Roman" w:cs="Times New Roman"/>
      <w:sz w:val="20"/>
      <w:szCs w:val="20"/>
      <w:lang w:val="pt-BR"/>
    </w:rPr>
  </w:style>
  <w:style w:type="character" w:customStyle="1" w:styleId="CommentTextChar">
    <w:name w:val="Comment Text Char"/>
    <w:aliases w:val="Style 18 Char"/>
    <w:basedOn w:val="DefaultParagraphFont"/>
    <w:link w:val="CommentText"/>
    <w:semiHidden/>
    <w:rsid w:val="00C72226"/>
    <w:rPr>
      <w:rFonts w:ascii="Times New Roman" w:eastAsia="Times New Roman" w:hAnsi="Times New Roman" w:cs="Times New Roman"/>
      <w:sz w:val="20"/>
      <w:szCs w:val="20"/>
      <w:lang w:val="pt-BR"/>
    </w:rPr>
  </w:style>
  <w:style w:type="paragraph" w:styleId="BalloonText">
    <w:name w:val="Balloon Text"/>
    <w:basedOn w:val="Normal"/>
    <w:link w:val="BalloonTextChar"/>
    <w:uiPriority w:val="99"/>
    <w:semiHidden/>
    <w:unhideWhenUsed/>
    <w:rsid w:val="00C722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26"/>
    <w:rPr>
      <w:rFonts w:ascii="Segoe UI" w:hAnsi="Segoe UI" w:cs="Segoe UI"/>
      <w:sz w:val="18"/>
      <w:szCs w:val="18"/>
    </w:rPr>
  </w:style>
  <w:style w:type="paragraph" w:customStyle="1" w:styleId="Header1">
    <w:name w:val="Header1"/>
    <w:basedOn w:val="Normal"/>
    <w:next w:val="Header"/>
    <w:link w:val="HeaderChar"/>
    <w:uiPriority w:val="99"/>
    <w:unhideWhenUsed/>
    <w:rsid w:val="003B31E9"/>
    <w:pPr>
      <w:tabs>
        <w:tab w:val="center" w:pos="4680"/>
        <w:tab w:val="right" w:pos="9360"/>
      </w:tabs>
      <w:spacing w:line="240" w:lineRule="auto"/>
    </w:pPr>
    <w:rPr>
      <w:lang w:val="fr-FR"/>
    </w:rPr>
  </w:style>
  <w:style w:type="character" w:customStyle="1" w:styleId="HeaderChar">
    <w:name w:val="Header Char"/>
    <w:basedOn w:val="DefaultParagraphFont"/>
    <w:link w:val="Header1"/>
    <w:uiPriority w:val="99"/>
    <w:rsid w:val="003B31E9"/>
    <w:rPr>
      <w:lang w:val="fr-FR"/>
    </w:rPr>
  </w:style>
  <w:style w:type="paragraph" w:customStyle="1" w:styleId="Footer1">
    <w:name w:val="Footer1"/>
    <w:basedOn w:val="Normal"/>
    <w:next w:val="Footer"/>
    <w:link w:val="FooterChar"/>
    <w:uiPriority w:val="99"/>
    <w:unhideWhenUsed/>
    <w:rsid w:val="003B31E9"/>
    <w:pPr>
      <w:tabs>
        <w:tab w:val="center" w:pos="4680"/>
        <w:tab w:val="right" w:pos="9360"/>
      </w:tabs>
      <w:spacing w:line="240" w:lineRule="auto"/>
    </w:pPr>
    <w:rPr>
      <w:lang w:val="fr-FR"/>
    </w:rPr>
  </w:style>
  <w:style w:type="character" w:customStyle="1" w:styleId="FooterChar">
    <w:name w:val="Footer Char"/>
    <w:basedOn w:val="DefaultParagraphFont"/>
    <w:link w:val="Footer1"/>
    <w:uiPriority w:val="99"/>
    <w:rsid w:val="003B31E9"/>
    <w:rPr>
      <w:lang w:val="fr-FR"/>
    </w:rPr>
  </w:style>
  <w:style w:type="paragraph" w:styleId="Header">
    <w:name w:val="header"/>
    <w:basedOn w:val="Normal"/>
    <w:link w:val="HeaderChar1"/>
    <w:uiPriority w:val="99"/>
    <w:unhideWhenUsed/>
    <w:rsid w:val="003B31E9"/>
    <w:pPr>
      <w:tabs>
        <w:tab w:val="center" w:pos="4680"/>
        <w:tab w:val="right" w:pos="9360"/>
      </w:tabs>
      <w:spacing w:line="240" w:lineRule="auto"/>
    </w:pPr>
  </w:style>
  <w:style w:type="character" w:customStyle="1" w:styleId="HeaderChar1">
    <w:name w:val="Header Char1"/>
    <w:basedOn w:val="DefaultParagraphFont"/>
    <w:link w:val="Header"/>
    <w:uiPriority w:val="99"/>
    <w:rsid w:val="003B31E9"/>
  </w:style>
  <w:style w:type="paragraph" w:styleId="Footer">
    <w:name w:val="footer"/>
    <w:basedOn w:val="Normal"/>
    <w:link w:val="FooterChar1"/>
    <w:uiPriority w:val="99"/>
    <w:unhideWhenUsed/>
    <w:rsid w:val="003B31E9"/>
    <w:pPr>
      <w:tabs>
        <w:tab w:val="center" w:pos="4680"/>
        <w:tab w:val="right" w:pos="9360"/>
      </w:tabs>
      <w:spacing w:line="240" w:lineRule="auto"/>
    </w:pPr>
  </w:style>
  <w:style w:type="character" w:customStyle="1" w:styleId="FooterChar1">
    <w:name w:val="Footer Char1"/>
    <w:basedOn w:val="DefaultParagraphFont"/>
    <w:link w:val="Footer"/>
    <w:uiPriority w:val="99"/>
    <w:rsid w:val="003B3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2226"/>
    <w:pPr>
      <w:spacing w:line="240" w:lineRule="auto"/>
    </w:pPr>
    <w:rPr>
      <w:sz w:val="20"/>
      <w:szCs w:val="20"/>
    </w:rPr>
  </w:style>
  <w:style w:type="character" w:customStyle="1" w:styleId="FootnoteTextChar">
    <w:name w:val="Footnote Text Char"/>
    <w:basedOn w:val="DefaultParagraphFont"/>
    <w:link w:val="FootnoteText"/>
    <w:uiPriority w:val="99"/>
    <w:semiHidden/>
    <w:rsid w:val="00C72226"/>
    <w:rPr>
      <w:sz w:val="20"/>
      <w:szCs w:val="20"/>
    </w:rPr>
  </w:style>
  <w:style w:type="character" w:styleId="FootnoteReference">
    <w:name w:val="footnote reference"/>
    <w:semiHidden/>
    <w:rsid w:val="00C72226"/>
    <w:rPr>
      <w:spacing w:val="0"/>
      <w:vertAlign w:val="superscript"/>
    </w:rPr>
  </w:style>
  <w:style w:type="character" w:styleId="CommentReference">
    <w:name w:val="annotation reference"/>
    <w:aliases w:val="Style 16"/>
    <w:semiHidden/>
    <w:rsid w:val="00C72226"/>
    <w:rPr>
      <w:rFonts w:cs="Times New Roman"/>
      <w:sz w:val="16"/>
      <w:szCs w:val="16"/>
    </w:rPr>
  </w:style>
  <w:style w:type="paragraph" w:styleId="CommentText">
    <w:name w:val="annotation text"/>
    <w:aliases w:val="Style 18"/>
    <w:basedOn w:val="Normal"/>
    <w:link w:val="CommentTextChar"/>
    <w:semiHidden/>
    <w:rsid w:val="00C72226"/>
    <w:pPr>
      <w:spacing w:after="120" w:line="240" w:lineRule="auto"/>
      <w:jc w:val="both"/>
    </w:pPr>
    <w:rPr>
      <w:rFonts w:ascii="Times New Roman" w:eastAsia="Times New Roman" w:hAnsi="Times New Roman" w:cs="Times New Roman"/>
      <w:sz w:val="20"/>
      <w:szCs w:val="20"/>
      <w:lang w:val="pt-BR"/>
    </w:rPr>
  </w:style>
  <w:style w:type="character" w:customStyle="1" w:styleId="CommentTextChar">
    <w:name w:val="Comment Text Char"/>
    <w:aliases w:val="Style 18 Char"/>
    <w:basedOn w:val="DefaultParagraphFont"/>
    <w:link w:val="CommentText"/>
    <w:semiHidden/>
    <w:rsid w:val="00C72226"/>
    <w:rPr>
      <w:rFonts w:ascii="Times New Roman" w:eastAsia="Times New Roman" w:hAnsi="Times New Roman" w:cs="Times New Roman"/>
      <w:sz w:val="20"/>
      <w:szCs w:val="20"/>
      <w:lang w:val="pt-BR"/>
    </w:rPr>
  </w:style>
  <w:style w:type="paragraph" w:styleId="BalloonText">
    <w:name w:val="Balloon Text"/>
    <w:basedOn w:val="Normal"/>
    <w:link w:val="BalloonTextChar"/>
    <w:uiPriority w:val="99"/>
    <w:semiHidden/>
    <w:unhideWhenUsed/>
    <w:rsid w:val="00C722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26"/>
    <w:rPr>
      <w:rFonts w:ascii="Segoe UI" w:hAnsi="Segoe UI" w:cs="Segoe UI"/>
      <w:sz w:val="18"/>
      <w:szCs w:val="18"/>
    </w:rPr>
  </w:style>
  <w:style w:type="paragraph" w:customStyle="1" w:styleId="Header1">
    <w:name w:val="Header1"/>
    <w:basedOn w:val="Normal"/>
    <w:next w:val="Header"/>
    <w:link w:val="HeaderChar"/>
    <w:uiPriority w:val="99"/>
    <w:unhideWhenUsed/>
    <w:rsid w:val="003B31E9"/>
    <w:pPr>
      <w:tabs>
        <w:tab w:val="center" w:pos="4680"/>
        <w:tab w:val="right" w:pos="9360"/>
      </w:tabs>
      <w:spacing w:line="240" w:lineRule="auto"/>
    </w:pPr>
    <w:rPr>
      <w:lang w:val="fr-FR"/>
    </w:rPr>
  </w:style>
  <w:style w:type="character" w:customStyle="1" w:styleId="HeaderChar">
    <w:name w:val="Header Char"/>
    <w:basedOn w:val="DefaultParagraphFont"/>
    <w:link w:val="Header1"/>
    <w:uiPriority w:val="99"/>
    <w:rsid w:val="003B31E9"/>
    <w:rPr>
      <w:lang w:val="fr-FR"/>
    </w:rPr>
  </w:style>
  <w:style w:type="paragraph" w:customStyle="1" w:styleId="Footer1">
    <w:name w:val="Footer1"/>
    <w:basedOn w:val="Normal"/>
    <w:next w:val="Footer"/>
    <w:link w:val="FooterChar"/>
    <w:uiPriority w:val="99"/>
    <w:unhideWhenUsed/>
    <w:rsid w:val="003B31E9"/>
    <w:pPr>
      <w:tabs>
        <w:tab w:val="center" w:pos="4680"/>
        <w:tab w:val="right" w:pos="9360"/>
      </w:tabs>
      <w:spacing w:line="240" w:lineRule="auto"/>
    </w:pPr>
    <w:rPr>
      <w:lang w:val="fr-FR"/>
    </w:rPr>
  </w:style>
  <w:style w:type="character" w:customStyle="1" w:styleId="FooterChar">
    <w:name w:val="Footer Char"/>
    <w:basedOn w:val="DefaultParagraphFont"/>
    <w:link w:val="Footer1"/>
    <w:uiPriority w:val="99"/>
    <w:rsid w:val="003B31E9"/>
    <w:rPr>
      <w:lang w:val="fr-FR"/>
    </w:rPr>
  </w:style>
  <w:style w:type="paragraph" w:styleId="Header">
    <w:name w:val="header"/>
    <w:basedOn w:val="Normal"/>
    <w:link w:val="HeaderChar1"/>
    <w:uiPriority w:val="99"/>
    <w:unhideWhenUsed/>
    <w:rsid w:val="003B31E9"/>
    <w:pPr>
      <w:tabs>
        <w:tab w:val="center" w:pos="4680"/>
        <w:tab w:val="right" w:pos="9360"/>
      </w:tabs>
      <w:spacing w:line="240" w:lineRule="auto"/>
    </w:pPr>
  </w:style>
  <w:style w:type="character" w:customStyle="1" w:styleId="HeaderChar1">
    <w:name w:val="Header Char1"/>
    <w:basedOn w:val="DefaultParagraphFont"/>
    <w:link w:val="Header"/>
    <w:uiPriority w:val="99"/>
    <w:rsid w:val="003B31E9"/>
  </w:style>
  <w:style w:type="paragraph" w:styleId="Footer">
    <w:name w:val="footer"/>
    <w:basedOn w:val="Normal"/>
    <w:link w:val="FooterChar1"/>
    <w:uiPriority w:val="99"/>
    <w:unhideWhenUsed/>
    <w:rsid w:val="003B31E9"/>
    <w:pPr>
      <w:tabs>
        <w:tab w:val="center" w:pos="4680"/>
        <w:tab w:val="right" w:pos="9360"/>
      </w:tabs>
      <w:spacing w:line="240" w:lineRule="auto"/>
    </w:pPr>
  </w:style>
  <w:style w:type="character" w:customStyle="1" w:styleId="FooterChar1">
    <w:name w:val="Footer Char1"/>
    <w:basedOn w:val="DefaultParagraphFont"/>
    <w:link w:val="Footer"/>
    <w:uiPriority w:val="99"/>
    <w:rsid w:val="003B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home desktop</cp:lastModifiedBy>
  <cp:revision>2</cp:revision>
  <dcterms:created xsi:type="dcterms:W3CDTF">2014-11-12T19:36:00Z</dcterms:created>
  <dcterms:modified xsi:type="dcterms:W3CDTF">2014-11-12T19:36:00Z</dcterms:modified>
</cp:coreProperties>
</file>